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JJZB-WJ-2025023</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福州职业技术学院第五届“榕匠杯”计算机程序设计员职业技能竞赛平台租赁服务采购项目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福州职业技术学院第五届“榕匠杯”计算机程序设计员职业技能竞赛平台租赁服务采购项目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JJZB-WJ-2025023</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福州职业技术学院第五届“榕匠杯”计算机程序设计员职业技能竞赛平台租赁服务采购项目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259A5A7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报名开始时间：2025年10月23日08:30:00</w:t>
      </w:r>
    </w:p>
    <w:p w14:paraId="6DA07D9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报名截止时间：2025年10月27日17:00:00</w:t>
      </w:r>
    </w:p>
    <w:p w14:paraId="09FFF179">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网上竞价开始时间：2025年10月28日09:00:00</w:t>
      </w:r>
    </w:p>
    <w:p w14:paraId="76AEF97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网上竞价截止时间：2025年10月28日11:00:00</w:t>
      </w:r>
      <w:bookmarkStart w:id="8" w:name="_GoBack"/>
      <w:bookmarkEnd w:id="8"/>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widowControl w:val="0"/>
        <w:kinsoku/>
        <w:wordWrap/>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700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，网上竞价保证金须以对公转账、支票、汇票等非现金形式提交且应在报名截止时间前到达指定账户，否则报名审核不合格。采购代理机构将以网上竞价保证金收款银行提供的保证金到帐时间为依据进行确认。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林峰 15080465004</w:t>
      </w:r>
      <w:r>
        <w:rPr>
          <w:rFonts w:hint="eastAsia" w:ascii="宋体" w:hAnsi="宋体" w:eastAsia="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供应商在竞价系统中提交报价时须上传《报价一览表》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360" w:lineRule="exact"/>
        <w:outlineLvl w:val="1"/>
        <w:rPr>
          <w:rFonts w:ascii="宋体" w:hAnsi="宋体" w:cs="宋体"/>
          <w:b/>
          <w:color w:val="auto"/>
          <w:sz w:val="24"/>
          <w:szCs w:val="24"/>
          <w:highlight w:val="none"/>
        </w:rPr>
      </w:pPr>
      <w:bookmarkStart w:id="1" w:name="_Toc358016816"/>
      <w:bookmarkStart w:id="2" w:name="_Toc359317661"/>
      <w:bookmarkStart w:id="3" w:name="_Toc327948617"/>
      <w:bookmarkStart w:id="4" w:name="_Toc347060296"/>
      <w:bookmarkStart w:id="5" w:name="_Toc346300367"/>
      <w:bookmarkStart w:id="6" w:name="_Toc330567034"/>
      <w:r>
        <w:rPr>
          <w:rFonts w:hint="eastAsia" w:ascii="宋体" w:hAnsi="宋体" w:cs="宋体"/>
          <w:b/>
          <w:color w:val="auto"/>
          <w:sz w:val="24"/>
          <w:szCs w:val="24"/>
          <w:highlight w:val="none"/>
        </w:rPr>
        <w:t>一、项目概述</w:t>
      </w:r>
      <w:bookmarkEnd w:id="1"/>
      <w:bookmarkEnd w:id="2"/>
    </w:p>
    <w:p w14:paraId="401C1468">
      <w:pPr>
        <w:pStyle w:val="33"/>
        <w:keepNext w:val="0"/>
        <w:keepLines w:val="0"/>
        <w:pageBreakBefore w:val="0"/>
        <w:kinsoku/>
        <w:wordWrap/>
        <w:overflowPunct/>
        <w:topLinePunct w:val="0"/>
        <w:autoSpaceDE/>
        <w:autoSpaceDN/>
        <w:bidi w:val="0"/>
        <w:adjustRightInd/>
        <w:snapToGrid/>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36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67"/>
        <w:gridCol w:w="2236"/>
        <w:gridCol w:w="927"/>
        <w:gridCol w:w="1787"/>
        <w:gridCol w:w="1790"/>
        <w:gridCol w:w="129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服务名称</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第五届“榕匠杯”计算机程序设计员职业技能竞赛平台租赁服务</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自签订合同之日起7日内交付完成</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70000.00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34833533">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供应商报价应包含本次项目所涉及到的所有费用，包括</w:t>
      </w:r>
      <w:r>
        <w:rPr>
          <w:rFonts w:hint="eastAsia" w:ascii="宋体" w:hAnsi="宋体" w:cs="宋体"/>
          <w:color w:val="auto"/>
          <w:kern w:val="0"/>
          <w:sz w:val="24"/>
          <w:szCs w:val="24"/>
          <w:highlight w:val="none"/>
          <w:lang w:val="en-US" w:eastAsia="zh-CN" w:bidi="ar-SA"/>
        </w:rPr>
        <w:t>但不限于</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软件租赁</w:t>
      </w:r>
      <w:r>
        <w:rPr>
          <w:rFonts w:hint="eastAsia" w:ascii="宋体" w:hAnsi="宋体" w:eastAsia="宋体" w:cs="宋体"/>
          <w:color w:val="auto"/>
          <w:kern w:val="0"/>
          <w:sz w:val="24"/>
          <w:szCs w:val="24"/>
          <w:highlight w:val="none"/>
          <w:lang w:val="en-US" w:eastAsia="zh-CN" w:bidi="ar-SA"/>
        </w:rPr>
        <w:t>费、</w:t>
      </w:r>
      <w:r>
        <w:rPr>
          <w:rFonts w:hint="eastAsia" w:ascii="宋体" w:hAnsi="宋体" w:cs="宋体"/>
          <w:color w:val="auto"/>
          <w:kern w:val="0"/>
          <w:sz w:val="24"/>
          <w:szCs w:val="24"/>
          <w:highlight w:val="none"/>
          <w:lang w:val="en-US" w:eastAsia="zh-CN" w:bidi="ar-SA"/>
        </w:rPr>
        <w:t>安装调试费、培训</w:t>
      </w:r>
      <w:r>
        <w:rPr>
          <w:rFonts w:hint="eastAsia" w:ascii="宋体" w:hAnsi="宋体" w:eastAsia="宋体" w:cs="宋体"/>
          <w:color w:val="auto"/>
          <w:kern w:val="0"/>
          <w:sz w:val="24"/>
          <w:szCs w:val="24"/>
          <w:highlight w:val="none"/>
          <w:lang w:val="en-US" w:eastAsia="zh-CN" w:bidi="ar-SA"/>
        </w:rPr>
        <w:t>费、系统维护费、税费</w:t>
      </w:r>
      <w:r>
        <w:rPr>
          <w:rFonts w:hint="eastAsia" w:ascii="宋体" w:hAnsi="宋体" w:cs="宋体"/>
          <w:color w:val="auto"/>
          <w:kern w:val="0"/>
          <w:sz w:val="24"/>
          <w:szCs w:val="24"/>
          <w:highlight w:val="none"/>
          <w:lang w:val="en-US" w:eastAsia="zh-CN" w:bidi="ar-SA"/>
        </w:rPr>
        <w:t>等</w:t>
      </w:r>
      <w:r>
        <w:rPr>
          <w:rFonts w:hint="eastAsia" w:ascii="宋体" w:hAnsi="宋体" w:eastAsia="宋体" w:cs="宋体"/>
          <w:color w:val="auto"/>
          <w:kern w:val="0"/>
          <w:sz w:val="24"/>
          <w:szCs w:val="24"/>
          <w:highlight w:val="none"/>
          <w:lang w:val="en-US" w:eastAsia="zh-CN" w:bidi="ar-SA"/>
        </w:rPr>
        <w:t>。</w:t>
      </w:r>
    </w:p>
    <w:p w14:paraId="442EA31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3"/>
        <w:tblW w:w="9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80"/>
        <w:gridCol w:w="5521"/>
        <w:gridCol w:w="700"/>
        <w:gridCol w:w="1017"/>
        <w:gridCol w:w="978"/>
      </w:tblGrid>
      <w:tr w14:paraId="3FDC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6DEFF87">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序号</w:t>
            </w:r>
          </w:p>
        </w:tc>
        <w:tc>
          <w:tcPr>
            <w:tcW w:w="1180" w:type="dxa"/>
            <w:vAlign w:val="center"/>
          </w:tcPr>
          <w:p w14:paraId="669B553F">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名称</w:t>
            </w:r>
          </w:p>
        </w:tc>
        <w:tc>
          <w:tcPr>
            <w:tcW w:w="5521" w:type="dxa"/>
            <w:vAlign w:val="center"/>
          </w:tcPr>
          <w:p w14:paraId="7022463F">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技术要求</w:t>
            </w:r>
          </w:p>
        </w:tc>
        <w:tc>
          <w:tcPr>
            <w:tcW w:w="700" w:type="dxa"/>
            <w:vAlign w:val="center"/>
          </w:tcPr>
          <w:p w14:paraId="62A2A811">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数量</w:t>
            </w:r>
          </w:p>
        </w:tc>
        <w:tc>
          <w:tcPr>
            <w:tcW w:w="1017" w:type="dxa"/>
            <w:vAlign w:val="center"/>
          </w:tcPr>
          <w:p w14:paraId="1F45F74B">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单价最高限价（元）</w:t>
            </w:r>
          </w:p>
        </w:tc>
        <w:tc>
          <w:tcPr>
            <w:tcW w:w="978" w:type="dxa"/>
            <w:vAlign w:val="center"/>
          </w:tcPr>
          <w:p w14:paraId="54D2FF7C">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总价最高限价（元）</w:t>
            </w:r>
          </w:p>
        </w:tc>
      </w:tr>
      <w:tr w14:paraId="1AC3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A15A135">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1</w:t>
            </w:r>
          </w:p>
        </w:tc>
        <w:tc>
          <w:tcPr>
            <w:tcW w:w="1180" w:type="dxa"/>
            <w:vAlign w:val="center"/>
          </w:tcPr>
          <w:p w14:paraId="0AD64E17">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kern w:val="2"/>
                <w:sz w:val="24"/>
                <w:szCs w:val="22"/>
                <w:lang w:val="en-US" w:eastAsia="zh-CN" w:bidi="ar-SA"/>
              </w:rPr>
              <w:t>竞赛平台租赁</w:t>
            </w:r>
          </w:p>
        </w:tc>
        <w:tc>
          <w:tcPr>
            <w:tcW w:w="5521" w:type="dxa"/>
            <w:vAlign w:val="center"/>
          </w:tcPr>
          <w:p w14:paraId="5B940A63">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竞赛平台需满足如下要求：</w:t>
            </w:r>
          </w:p>
          <w:p w14:paraId="61B078E8">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一、管理端</w:t>
            </w:r>
          </w:p>
          <w:p w14:paraId="6C00EE62">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可基于管理端进行课程资源管理、课程实训设置，题库管理、资源分发、用户管理，权限管理，安全设置等操作，可支撑竞赛教学管理，主要功能如下：</w:t>
            </w:r>
          </w:p>
          <w:p w14:paraId="10BB027C">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1、统一账户管理：提供统一的账户管理功能，支持用户分类添加、修改、删除以及批量导入和导出用户信息。</w:t>
            </w:r>
          </w:p>
          <w:p w14:paraId="37120C1A">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2、课程资源管理：支持查看资源库内容，图形化展示不同类别课程的名称、内容数量和章节数量，支持查看课程详情包括查看视频内容、实训内容等，支持查看相关配套习题。</w:t>
            </w:r>
          </w:p>
          <w:p w14:paraId="2246D7C3">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信息管理功能：学校教学管理人员可以对系统中的所有用户进行管理，包括新增、删除、导入用户信息。支持管理学期、院系、专业、年级、班级、学号、姓名、性别和电话等信息，管理员可以对学生和教师账号进行信息修改、密码重置等操作。</w:t>
            </w:r>
          </w:p>
          <w:p w14:paraId="7DEF0222">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4、管理员可以查看不同学院、专业、年级、班级的学生对于不同课程的学习情况，至少包含班级测评提交人数、考试提交人数、及格人数、及格率、平均分等信息。</w:t>
            </w:r>
          </w:p>
          <w:p w14:paraId="333A989C">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5、专业学习路径：系统提供专业的专业工程师岗位学习路径，院校管理员可以根据目前的专业课程体系给予专业学习路径展现。</w:t>
            </w:r>
          </w:p>
          <w:p w14:paraId="7E8F8752">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6、岗位方向：系统提供专业的工程师岗位学习路径，系统支持管理员给每个岗位方向添加配置基础课程、专业课课程。</w:t>
            </w:r>
          </w:p>
          <w:p w14:paraId="1F1E26AF">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7、支持松散的组织结构竞赛教学，管理员可以创建、管理教学组，每个教学组可以选择开设的课程，每个教学组可以由任意院系，专业，班级，年级的学生进行学习，每个教学组可以由多个教师共同完成一个竞赛课程授课。</w:t>
            </w:r>
          </w:p>
          <w:p w14:paraId="64B951DC">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二、裁判教师端</w:t>
            </w:r>
          </w:p>
          <w:p w14:paraId="6F3546CC">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1、支持按竞赛要求发布竞赛试题，学生通过学生端进入竞赛。</w:t>
            </w:r>
          </w:p>
          <w:p w14:paraId="792B6D9A">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2、支持裁判教师自建题库上传，用于学生学习、开课和竞赛演练和正式竞赛发布。</w:t>
            </w:r>
          </w:p>
          <w:p w14:paraId="729EEA7D">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3、可开启和关闭实时竞赛评分，支持后台评分与发布评分。</w:t>
            </w:r>
          </w:p>
          <w:p w14:paraId="108F22CA">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4、支持下载上传答题卡答题，答题卡可以自定义模板。</w:t>
            </w:r>
          </w:p>
          <w:p w14:paraId="2F2399D4">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5、支持查看学生竞赛统计和分析，包括个人统计分析，可以细化到每个人得分详情。</w:t>
            </w:r>
            <w:r>
              <w:rPr>
                <w:rFonts w:hint="eastAsia" w:asciiTheme="minorEastAsia" w:hAnsiTheme="minorEastAsia" w:eastAsiaTheme="minorEastAsia" w:cstheme="minorEastAsia"/>
                <w:b/>
                <w:sz w:val="24"/>
                <w:szCs w:val="28"/>
                <w:lang w:val="en-US" w:eastAsia="zh-CN"/>
              </w:rPr>
              <w:t>（须</w:t>
            </w:r>
            <w:r>
              <w:rPr>
                <w:rFonts w:hint="eastAsia" w:asciiTheme="minorEastAsia" w:hAnsiTheme="minorEastAsia" w:eastAsiaTheme="minorEastAsia" w:cstheme="minorEastAsia"/>
                <w:b/>
                <w:sz w:val="24"/>
                <w:szCs w:val="28"/>
              </w:rPr>
              <w:t>提供</w:t>
            </w:r>
            <w:r>
              <w:rPr>
                <w:rFonts w:hint="eastAsia" w:asciiTheme="minorEastAsia" w:hAnsiTheme="minorEastAsia" w:eastAsiaTheme="minorEastAsia" w:cstheme="minorEastAsia"/>
                <w:b/>
                <w:sz w:val="24"/>
                <w:szCs w:val="28"/>
                <w:lang w:val="en-US" w:eastAsia="zh-CN"/>
              </w:rPr>
              <w:t>软件平台</w:t>
            </w:r>
            <w:r>
              <w:rPr>
                <w:rFonts w:hint="eastAsia" w:asciiTheme="minorEastAsia" w:hAnsiTheme="minorEastAsia" w:eastAsiaTheme="minorEastAsia" w:cstheme="minorEastAsia"/>
                <w:b/>
                <w:sz w:val="24"/>
                <w:szCs w:val="28"/>
              </w:rPr>
              <w:t>功能截图</w:t>
            </w:r>
            <w:r>
              <w:rPr>
                <w:rFonts w:hint="eastAsia" w:asciiTheme="minorEastAsia" w:hAnsiTheme="minorEastAsia" w:eastAsiaTheme="minorEastAsia" w:cstheme="minorEastAsia"/>
                <w:b/>
                <w:sz w:val="24"/>
                <w:szCs w:val="28"/>
                <w:lang w:eastAsia="zh-CN"/>
              </w:rPr>
              <w:t>）</w:t>
            </w:r>
          </w:p>
          <w:p w14:paraId="6F136C6E">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6、裁判教师账号可导出比赛成绩。</w:t>
            </w:r>
          </w:p>
          <w:p w14:paraId="64B76BE6">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7、考试试卷支持防作弊功能，至少包含题目乱序、禁用复制、切屏次数限制，支持成绩展示方式，包含按分值、按等级，学生根据展示方式查看对应成绩。</w:t>
            </w:r>
            <w:r>
              <w:rPr>
                <w:rFonts w:hint="eastAsia" w:asciiTheme="minorEastAsia" w:hAnsiTheme="minorEastAsia" w:eastAsiaTheme="minorEastAsia" w:cstheme="minorEastAsia"/>
                <w:b/>
                <w:sz w:val="24"/>
                <w:szCs w:val="28"/>
                <w:lang w:val="en-US" w:eastAsia="zh-CN"/>
              </w:rPr>
              <w:t>（须</w:t>
            </w:r>
            <w:r>
              <w:rPr>
                <w:rFonts w:hint="eastAsia" w:asciiTheme="minorEastAsia" w:hAnsiTheme="minorEastAsia" w:eastAsiaTheme="minorEastAsia" w:cstheme="minorEastAsia"/>
                <w:b/>
                <w:sz w:val="24"/>
                <w:szCs w:val="28"/>
              </w:rPr>
              <w:t>提供</w:t>
            </w:r>
            <w:r>
              <w:rPr>
                <w:rFonts w:hint="eastAsia" w:asciiTheme="minorEastAsia" w:hAnsiTheme="minorEastAsia" w:eastAsiaTheme="minorEastAsia" w:cstheme="minorEastAsia"/>
                <w:b/>
                <w:sz w:val="24"/>
                <w:szCs w:val="28"/>
                <w:lang w:val="en-US" w:eastAsia="zh-CN"/>
              </w:rPr>
              <w:t>软件平台</w:t>
            </w:r>
            <w:r>
              <w:rPr>
                <w:rFonts w:hint="eastAsia" w:asciiTheme="minorEastAsia" w:hAnsiTheme="minorEastAsia" w:eastAsiaTheme="minorEastAsia" w:cstheme="minorEastAsia"/>
                <w:b/>
                <w:sz w:val="24"/>
                <w:szCs w:val="28"/>
              </w:rPr>
              <w:t>功能截图</w:t>
            </w:r>
            <w:r>
              <w:rPr>
                <w:rFonts w:hint="eastAsia" w:asciiTheme="minorEastAsia" w:hAnsiTheme="minorEastAsia" w:eastAsiaTheme="minorEastAsia" w:cstheme="minorEastAsia"/>
                <w:b/>
                <w:sz w:val="24"/>
                <w:szCs w:val="28"/>
                <w:lang w:eastAsia="zh-CN"/>
              </w:rPr>
              <w:t>）</w:t>
            </w:r>
          </w:p>
          <w:p w14:paraId="7E9A5959">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8、支持创建试题库，出卷模式支持手动组卷、自动组卷两种方式，方便教师节省出卷时间。支持客观题自动评分，以及教师在线评分主观题，并自动统计成绩。</w:t>
            </w:r>
          </w:p>
          <w:p w14:paraId="09B623D7">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9、支持考试附件预览，支持但不限于以下格式：md、pdf、ppt、docx、java、c、py等。</w:t>
            </w:r>
          </w:p>
          <w:p w14:paraId="7F6495CC">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三、学生端</w:t>
            </w:r>
            <w:r>
              <w:rPr>
                <w:rFonts w:hint="eastAsia" w:asciiTheme="minorEastAsia" w:hAnsiTheme="minorEastAsia" w:eastAsiaTheme="minorEastAsia" w:cstheme="minorEastAsia"/>
                <w:b/>
                <w:bCs/>
                <w:color w:val="auto"/>
                <w:sz w:val="24"/>
                <w:lang w:val="en-US" w:eastAsia="zh-CN"/>
              </w:rPr>
              <w:tab/>
            </w:r>
          </w:p>
          <w:p w14:paraId="5680CD62">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学生端通过PC或云桌面浏览器访问即可参加竞赛。支持以下功能：</w:t>
            </w:r>
          </w:p>
          <w:p w14:paraId="598A2011">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1、学生端可通过教师发布的竞赛试卷进入系统进行考试并提交试卷。</w:t>
            </w:r>
          </w:p>
          <w:p w14:paraId="784E601B">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2、在竞赛时间结束前，支持重复提交竞赛试卷，考试题目全部支持自动评分。</w:t>
            </w:r>
          </w:p>
          <w:p w14:paraId="568A1B80">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3、学生可以通过学生端查看试题成绩及答案解析。</w:t>
            </w:r>
          </w:p>
          <w:p w14:paraId="49522C3F">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四、竞赛环境承载组件</w:t>
            </w:r>
          </w:p>
          <w:p w14:paraId="1C889831">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支持通过浏览器（BS）模式，进行实操训练与考试。搭建配套竞赛实训云平台的镜像仓库，用于支撑竞赛云平台中各个实训集群的镜像资源，为用户虚拟一套云端虚拟机实操环境。</w:t>
            </w:r>
          </w:p>
          <w:p w14:paraId="4B39D8E5">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根据实训内容配置实训相应的依赖库、组件包并形成相应镜像文件，如形成Hadoop实训环境，Spark环境，或者是微信小程序开发实训环境等，这些官方配置好的镜像都放置在仓库中通过学生做不同的实训自动调用。功能如下：</w:t>
            </w:r>
          </w:p>
          <w:p w14:paraId="3F133E5F">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1、官方镜像：要求提供镜像资源，包括不少于Hadoop、Hive、Spark、Python 2.7、Python 3.0等不同的应用组件。</w:t>
            </w:r>
          </w:p>
          <w:p w14:paraId="32929079">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2、自定义镜像：可以完成教师自定义实训镜像，对镜像仓库里面的实训环境进行修改。</w:t>
            </w:r>
          </w:p>
          <w:p w14:paraId="1D1210E2">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3、允许用户教师端可以通过工具菜单，上传本地文件到实训虚拟机环境，也可以利用工具菜单，搜索实训虚拟机环境中的文件系统任意目录文件，从实训虚拟机环境中直接下载文件到本地。</w:t>
            </w:r>
            <w:r>
              <w:rPr>
                <w:rFonts w:hint="eastAsia" w:asciiTheme="minorEastAsia" w:hAnsiTheme="minorEastAsia" w:eastAsiaTheme="minorEastAsia" w:cstheme="minorEastAsia"/>
                <w:b/>
                <w:sz w:val="24"/>
                <w:szCs w:val="28"/>
                <w:lang w:val="en-US" w:eastAsia="zh-CN"/>
              </w:rPr>
              <w:t>（须</w:t>
            </w:r>
            <w:r>
              <w:rPr>
                <w:rFonts w:hint="eastAsia" w:asciiTheme="minorEastAsia" w:hAnsiTheme="minorEastAsia" w:eastAsiaTheme="minorEastAsia" w:cstheme="minorEastAsia"/>
                <w:b/>
                <w:sz w:val="24"/>
                <w:szCs w:val="28"/>
              </w:rPr>
              <w:t>提供</w:t>
            </w:r>
            <w:r>
              <w:rPr>
                <w:rFonts w:hint="eastAsia" w:asciiTheme="minorEastAsia" w:hAnsiTheme="minorEastAsia" w:eastAsiaTheme="minorEastAsia" w:cstheme="minorEastAsia"/>
                <w:b/>
                <w:sz w:val="24"/>
                <w:szCs w:val="28"/>
                <w:lang w:val="en-US" w:eastAsia="zh-CN"/>
              </w:rPr>
              <w:t>软件平台</w:t>
            </w:r>
            <w:r>
              <w:rPr>
                <w:rFonts w:hint="eastAsia" w:asciiTheme="minorEastAsia" w:hAnsiTheme="minorEastAsia" w:eastAsiaTheme="minorEastAsia" w:cstheme="minorEastAsia"/>
                <w:b/>
                <w:sz w:val="24"/>
                <w:szCs w:val="28"/>
              </w:rPr>
              <w:t>功能截图</w:t>
            </w:r>
            <w:r>
              <w:rPr>
                <w:rFonts w:hint="eastAsia" w:asciiTheme="minorEastAsia" w:hAnsiTheme="minorEastAsia" w:eastAsiaTheme="minorEastAsia" w:cstheme="minorEastAsia"/>
                <w:b/>
                <w:sz w:val="24"/>
                <w:szCs w:val="28"/>
                <w:lang w:eastAsia="zh-CN"/>
              </w:rPr>
              <w:t>）</w:t>
            </w:r>
          </w:p>
          <w:p w14:paraId="2AAA6BD7">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4、实训环境系统支持Windows系列虚拟机、Linux虚拟机；且支持教师实训Windows虚拟机可以独立用微软远程协助mstsc单独访问。</w:t>
            </w:r>
          </w:p>
          <w:p w14:paraId="168D9277">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lang w:val="en-US" w:eastAsia="zh-CN"/>
              </w:rPr>
              <w:t>5、实训虚拟机环境管理：支持一键开启关闭教学与授课计划云虚拟机环境；支持一键开启和关闭考试中心/竞赛云虚拟机环境。</w:t>
            </w:r>
          </w:p>
        </w:tc>
        <w:tc>
          <w:tcPr>
            <w:tcW w:w="700" w:type="dxa"/>
            <w:vAlign w:val="center"/>
          </w:tcPr>
          <w:p w14:paraId="477DE61F">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1项</w:t>
            </w:r>
          </w:p>
        </w:tc>
        <w:tc>
          <w:tcPr>
            <w:tcW w:w="1017" w:type="dxa"/>
            <w:vAlign w:val="center"/>
          </w:tcPr>
          <w:p w14:paraId="4A5148DA">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60000</w:t>
            </w:r>
          </w:p>
        </w:tc>
        <w:tc>
          <w:tcPr>
            <w:tcW w:w="978" w:type="dxa"/>
            <w:vAlign w:val="center"/>
          </w:tcPr>
          <w:p w14:paraId="7436CF3B">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60000</w:t>
            </w:r>
          </w:p>
        </w:tc>
      </w:tr>
      <w:tr w14:paraId="17CF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930F2D0">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2</w:t>
            </w:r>
          </w:p>
        </w:tc>
        <w:tc>
          <w:tcPr>
            <w:tcW w:w="1180" w:type="dxa"/>
            <w:vAlign w:val="center"/>
          </w:tcPr>
          <w:p w14:paraId="78745E48">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kern w:val="2"/>
                <w:sz w:val="24"/>
                <w:szCs w:val="22"/>
                <w:lang w:val="en-US" w:eastAsia="zh-CN" w:bidi="ar-SA"/>
              </w:rPr>
              <w:t>竞赛平台安装与调试</w:t>
            </w:r>
          </w:p>
        </w:tc>
        <w:tc>
          <w:tcPr>
            <w:tcW w:w="5521" w:type="dxa"/>
            <w:vAlign w:val="center"/>
          </w:tcPr>
          <w:p w14:paraId="49863338">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1、现场技术支持：安装调试期间需配备≥2名技术人员驻场，实时解决部署问题。</w:t>
            </w:r>
          </w:p>
          <w:p w14:paraId="183CCAB0">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2、应急响应：调试过程中若出现服务器故障、软件报错等问题，技术人员需在30分钟内响应，2小时内解决（重大问题需提供备用方案，确保不影响交付进度）。</w:t>
            </w:r>
          </w:p>
          <w:p w14:paraId="2871B9EA">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lang w:val="en-US" w:eastAsia="zh-CN"/>
              </w:rPr>
              <w:t>3、培训服务：调试完成后需对采购人（含竞赛组织者、裁判教师）进行1次操作培训（时长≥1小时），确保相关人员掌握云平台使用与基础故障排查。</w:t>
            </w:r>
          </w:p>
        </w:tc>
        <w:tc>
          <w:tcPr>
            <w:tcW w:w="700" w:type="dxa"/>
            <w:vAlign w:val="center"/>
          </w:tcPr>
          <w:p w14:paraId="533A01BB">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1项</w:t>
            </w:r>
          </w:p>
        </w:tc>
        <w:tc>
          <w:tcPr>
            <w:tcW w:w="1017" w:type="dxa"/>
            <w:vAlign w:val="center"/>
          </w:tcPr>
          <w:p w14:paraId="05EB33C2">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10000</w:t>
            </w:r>
          </w:p>
        </w:tc>
        <w:tc>
          <w:tcPr>
            <w:tcW w:w="978" w:type="dxa"/>
            <w:vAlign w:val="center"/>
          </w:tcPr>
          <w:p w14:paraId="548F356E">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10000</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6"/>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sz w:val="24"/>
          <w:szCs w:val="24"/>
        </w:rPr>
        <w:t>福州职业技术学院</w:t>
      </w:r>
      <w:r>
        <w:rPr>
          <w:rFonts w:hint="eastAsia" w:ascii="宋体" w:hAnsi="宋体" w:cs="宋体"/>
          <w:sz w:val="24"/>
          <w:szCs w:val="24"/>
          <w:lang w:val="en-US" w:eastAsia="zh-CN"/>
        </w:rPr>
        <w:t>匠心楼</w:t>
      </w:r>
      <w:r>
        <w:rPr>
          <w:rFonts w:hint="eastAsia" w:ascii="宋体" w:hAnsi="宋体" w:cs="宋体"/>
          <w:sz w:val="24"/>
          <w:szCs w:val="24"/>
          <w:lang w:eastAsia="zh-CN"/>
        </w:rPr>
        <w:t>（</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cs="宋体"/>
          <w:sz w:val="24"/>
          <w:szCs w:val="24"/>
          <w:lang w:eastAsia="zh-CN"/>
        </w:rPr>
        <w:t>）</w:t>
      </w:r>
      <w:r>
        <w:rPr>
          <w:rFonts w:hint="eastAsia" w:ascii="宋体" w:hAnsi="宋体" w:eastAsia="宋体" w:cs="宋体"/>
          <w:b w:val="0"/>
          <w:bCs w:val="0"/>
          <w:color w:val="auto"/>
          <w:kern w:val="0"/>
          <w:sz w:val="24"/>
          <w:szCs w:val="24"/>
          <w:highlight w:val="none"/>
        </w:rPr>
        <w:t>。</w:t>
      </w:r>
    </w:p>
    <w:p w14:paraId="6AF46AF8">
      <w:pPr>
        <w:pStyle w:val="6"/>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、交付时间</w:t>
      </w:r>
      <w:r>
        <w:rPr>
          <w:rFonts w:hint="eastAsia" w:ascii="宋体" w:hAnsi="宋体" w:eastAsia="宋体" w:cs="宋体"/>
          <w:b/>
          <w:bCs/>
          <w:color w:val="auto"/>
          <w:kern w:val="0"/>
          <w:sz w:val="24"/>
          <w:szCs w:val="24"/>
          <w:highlight w:val="none"/>
        </w:rPr>
        <w:t>：</w:t>
      </w:r>
      <w:r>
        <w:rPr>
          <w:rFonts w:hint="eastAsia" w:ascii="宋体" w:hAnsi="宋体"/>
          <w:b w:val="0"/>
          <w:bCs w:val="0"/>
          <w:color w:val="auto"/>
          <w:kern w:val="0"/>
          <w:sz w:val="24"/>
          <w:szCs w:val="24"/>
          <w:highlight w:val="none"/>
          <w:lang w:val="en-US" w:eastAsia="zh-CN"/>
        </w:rPr>
        <w:t>自签订合同之日起7日内交付完成</w:t>
      </w:r>
      <w:r>
        <w:rPr>
          <w:rFonts w:hint="eastAsia" w:ascii="宋体" w:hAnsi="宋体" w:eastAsia="宋体" w:cs="宋体"/>
          <w:b w:val="0"/>
          <w:bCs w:val="0"/>
          <w:color w:val="auto"/>
          <w:kern w:val="0"/>
          <w:sz w:val="24"/>
          <w:szCs w:val="24"/>
          <w:highlight w:val="none"/>
          <w:lang w:val="en-US" w:eastAsia="zh-CN"/>
        </w:rPr>
        <w:t>。</w:t>
      </w:r>
    </w:p>
    <w:p w14:paraId="56FD805B">
      <w:pPr>
        <w:pStyle w:val="6"/>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r>
        <w:rPr>
          <w:rFonts w:hint="eastAsia" w:ascii="宋体" w:hAnsi="宋体" w:cs="宋体"/>
          <w:b w:val="0"/>
          <w:bCs w:val="0"/>
          <w:color w:val="auto"/>
          <w:kern w:val="0"/>
          <w:sz w:val="24"/>
          <w:szCs w:val="24"/>
          <w:highlight w:val="none"/>
          <w:lang w:val="en-US" w:eastAsia="zh-CN" w:bidi="ar-SA"/>
        </w:rPr>
        <w:t>，成交供应商需按照要求提供相应竞赛平台、安装调试正常、竞赛保障到位、环境卫生保持良好，无服务质量问题。</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供应商提供的软件租赁服务经采购人验收合格后，10个工作日内学校凭收讫软件租赁服务的验收凭证和软件租赁服务验收合格文件等材料以转账方式向供应商一次性支付100%的软件租赁服务价款</w:t>
      </w:r>
      <w:r>
        <w:rPr>
          <w:rFonts w:hint="eastAsia" w:ascii="宋体" w:hAnsi="宋体" w:eastAsia="宋体" w:cs="宋体"/>
          <w:b w:val="0"/>
          <w:bCs w:val="0"/>
          <w:color w:val="auto"/>
          <w:kern w:val="0"/>
          <w:sz w:val="24"/>
          <w:szCs w:val="24"/>
          <w:highlight w:val="none"/>
          <w:lang w:val="en-US" w:eastAsia="zh-CN" w:bidi="ar-SA"/>
        </w:rPr>
        <w:t>。</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cs="宋体"/>
          <w:b w:val="0"/>
          <w:bCs w:val="0"/>
          <w:color w:val="auto"/>
          <w:kern w:val="0"/>
          <w:sz w:val="24"/>
          <w:szCs w:val="24"/>
          <w:highlight w:val="none"/>
          <w:lang w:val="en-US" w:eastAsia="zh-CN" w:bidi="ar-SA"/>
        </w:rPr>
        <w:t>不缴纳。</w:t>
      </w:r>
    </w:p>
    <w:p w14:paraId="6A2F92D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8、</w:t>
      </w:r>
      <w:r>
        <w:rPr>
          <w:rFonts w:hint="eastAsia" w:ascii="宋体" w:hAnsi="宋体" w:eastAsia="宋体" w:cs="宋体"/>
          <w:b/>
          <w:bCs/>
          <w:kern w:val="2"/>
          <w:sz w:val="24"/>
          <w:szCs w:val="24"/>
          <w:lang w:val="en-US" w:eastAsia="zh-CN" w:bidi="ar-SA"/>
        </w:rPr>
        <w:t>售后服务及其他要求：</w:t>
      </w:r>
    </w:p>
    <w:p w14:paraId="554F4478">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8.1</w:t>
      </w:r>
      <w:r>
        <w:rPr>
          <w:rFonts w:hint="eastAsia" w:ascii="宋体" w:hAnsi="宋体" w:eastAsia="宋体" w:cs="宋体"/>
          <w:b w:val="0"/>
          <w:kern w:val="2"/>
          <w:sz w:val="24"/>
          <w:szCs w:val="24"/>
          <w:lang w:val="en-US" w:eastAsia="zh-CN" w:bidi="ar-SA"/>
        </w:rPr>
        <w:t>租赁期限：租赁时间为5天（自安装调试之日起计或以合同约定的具体起止时间为准）。</w:t>
      </w:r>
    </w:p>
    <w:p w14:paraId="1D814C35">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8.2</w:t>
      </w:r>
      <w:r>
        <w:rPr>
          <w:rFonts w:hint="eastAsia" w:ascii="宋体" w:hAnsi="宋体" w:eastAsia="宋体" w:cs="宋体"/>
          <w:b w:val="0"/>
          <w:kern w:val="2"/>
          <w:sz w:val="24"/>
          <w:szCs w:val="24"/>
          <w:lang w:val="en-US" w:eastAsia="zh-CN" w:bidi="ar-SA"/>
        </w:rPr>
        <w:t>设备要求：成交供应商必须按照报价参数要求提供相应的平台，若不相符</w:t>
      </w:r>
      <w:r>
        <w:rPr>
          <w:rFonts w:hint="eastAsia" w:ascii="宋体" w:hAnsi="宋体" w:cs="宋体"/>
          <w:b w:val="0"/>
          <w:kern w:val="2"/>
          <w:sz w:val="24"/>
          <w:szCs w:val="24"/>
          <w:lang w:val="en-US" w:eastAsia="zh-CN" w:bidi="ar-SA"/>
        </w:rPr>
        <w:t>采购人</w:t>
      </w:r>
      <w:r>
        <w:rPr>
          <w:rFonts w:hint="eastAsia" w:ascii="宋体" w:hAnsi="宋体" w:eastAsia="宋体" w:cs="宋体"/>
          <w:b w:val="0"/>
          <w:kern w:val="2"/>
          <w:sz w:val="24"/>
          <w:szCs w:val="24"/>
          <w:lang w:val="en-US" w:eastAsia="zh-CN" w:bidi="ar-SA"/>
        </w:rPr>
        <w:t>有权拒绝接收。</w:t>
      </w:r>
    </w:p>
    <w:p w14:paraId="5D08750A">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8.3</w:t>
      </w:r>
      <w:r>
        <w:rPr>
          <w:rFonts w:hint="eastAsia" w:ascii="宋体" w:hAnsi="宋体" w:eastAsia="宋体" w:cs="宋体"/>
          <w:b w:val="0"/>
          <w:kern w:val="2"/>
          <w:sz w:val="24"/>
          <w:szCs w:val="24"/>
          <w:lang w:val="en-US" w:eastAsia="zh-CN" w:bidi="ar-SA"/>
        </w:rPr>
        <w:t>安装要求：成交供应商必须负责</w:t>
      </w:r>
      <w:r>
        <w:rPr>
          <w:rFonts w:hint="eastAsia" w:ascii="宋体" w:hAnsi="宋体" w:cs="宋体"/>
          <w:b w:val="0"/>
          <w:kern w:val="2"/>
          <w:sz w:val="24"/>
          <w:szCs w:val="24"/>
          <w:lang w:val="en-US" w:eastAsia="zh-CN" w:bidi="ar-SA"/>
        </w:rPr>
        <w:t>采购人</w:t>
      </w:r>
      <w:r>
        <w:rPr>
          <w:rFonts w:hint="eastAsia" w:ascii="宋体" w:hAnsi="宋体" w:eastAsia="宋体" w:cs="宋体"/>
          <w:b w:val="0"/>
          <w:kern w:val="2"/>
          <w:sz w:val="24"/>
          <w:szCs w:val="24"/>
          <w:lang w:val="en-US" w:eastAsia="zh-CN" w:bidi="ar-SA"/>
        </w:rPr>
        <w:t>竞赛服务集群设备和相关竞赛平台软件的安装调试。</w:t>
      </w:r>
    </w:p>
    <w:p w14:paraId="73A23EA2">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8.4</w:t>
      </w:r>
      <w:r>
        <w:rPr>
          <w:rFonts w:hint="eastAsia" w:ascii="宋体" w:hAnsi="宋体" w:eastAsia="宋体" w:cs="宋体"/>
          <w:b w:val="0"/>
          <w:kern w:val="2"/>
          <w:sz w:val="24"/>
          <w:szCs w:val="24"/>
          <w:lang w:val="en-US" w:eastAsia="zh-CN" w:bidi="ar-SA"/>
        </w:rPr>
        <w:t>安全要求：成交供应商应当按照</w:t>
      </w:r>
      <w:r>
        <w:rPr>
          <w:rFonts w:hint="eastAsia" w:ascii="宋体" w:hAnsi="宋体" w:cs="宋体"/>
          <w:b w:val="0"/>
          <w:kern w:val="2"/>
          <w:sz w:val="24"/>
          <w:szCs w:val="24"/>
          <w:lang w:val="en-US" w:eastAsia="zh-CN" w:bidi="ar-SA"/>
        </w:rPr>
        <w:t>采购人</w:t>
      </w:r>
      <w:r>
        <w:rPr>
          <w:rFonts w:hint="eastAsia" w:ascii="宋体" w:hAnsi="宋体" w:eastAsia="宋体" w:cs="宋体"/>
          <w:b w:val="0"/>
          <w:kern w:val="2"/>
          <w:sz w:val="24"/>
          <w:szCs w:val="24"/>
          <w:lang w:val="en-US" w:eastAsia="zh-CN" w:bidi="ar-SA"/>
        </w:rPr>
        <w:t>提供的场地组织人员进行安装，并确保安装现场人员和设备的安全，若在安装过程中出现设备损坏、安全问题由成交供应商自行负责，若导致</w:t>
      </w:r>
      <w:r>
        <w:rPr>
          <w:rFonts w:hint="eastAsia" w:ascii="宋体" w:hAnsi="宋体" w:cs="宋体"/>
          <w:b w:val="0"/>
          <w:kern w:val="2"/>
          <w:sz w:val="24"/>
          <w:szCs w:val="24"/>
          <w:lang w:val="en-US" w:eastAsia="zh-CN" w:bidi="ar-SA"/>
        </w:rPr>
        <w:t>采购人</w:t>
      </w:r>
      <w:r>
        <w:rPr>
          <w:rFonts w:hint="eastAsia" w:ascii="宋体" w:hAnsi="宋体" w:eastAsia="宋体" w:cs="宋体"/>
          <w:b w:val="0"/>
          <w:kern w:val="2"/>
          <w:sz w:val="24"/>
          <w:szCs w:val="24"/>
          <w:lang w:val="en-US" w:eastAsia="zh-CN" w:bidi="ar-SA"/>
        </w:rPr>
        <w:t>人员或其他设备问题，则根据实际情况由成交供应商负责赔偿。</w:t>
      </w:r>
    </w:p>
    <w:p w14:paraId="15061452">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8.5</w:t>
      </w:r>
      <w:r>
        <w:rPr>
          <w:rFonts w:hint="eastAsia" w:ascii="宋体" w:hAnsi="宋体" w:eastAsia="宋体" w:cs="宋体"/>
          <w:b w:val="0"/>
          <w:kern w:val="2"/>
          <w:sz w:val="24"/>
          <w:szCs w:val="24"/>
          <w:lang w:val="en-US" w:eastAsia="zh-CN" w:bidi="ar-SA"/>
        </w:rPr>
        <w:t>保障要求：成交供应商在竞赛期间必须按照</w:t>
      </w:r>
      <w:r>
        <w:rPr>
          <w:rFonts w:hint="eastAsia" w:ascii="宋体" w:hAnsi="宋体" w:cs="宋体"/>
          <w:b w:val="0"/>
          <w:kern w:val="2"/>
          <w:sz w:val="24"/>
          <w:szCs w:val="24"/>
          <w:lang w:val="en-US" w:eastAsia="zh-CN" w:bidi="ar-SA"/>
        </w:rPr>
        <w:t>采购人</w:t>
      </w:r>
      <w:r>
        <w:rPr>
          <w:rFonts w:hint="eastAsia" w:ascii="宋体" w:hAnsi="宋体" w:eastAsia="宋体" w:cs="宋体"/>
          <w:b w:val="0"/>
          <w:kern w:val="2"/>
          <w:sz w:val="24"/>
          <w:szCs w:val="24"/>
          <w:lang w:val="en-US" w:eastAsia="zh-CN" w:bidi="ar-SA"/>
        </w:rPr>
        <w:t>要求的时间节点派出至少3名专业技术人员负责保障竞赛现场设备运行，确保竞赛运行完好。</w:t>
      </w:r>
    </w:p>
    <w:p w14:paraId="7F8CEBA9">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8.6</w:t>
      </w:r>
      <w:r>
        <w:rPr>
          <w:rFonts w:hint="eastAsia" w:ascii="宋体" w:hAnsi="宋体" w:eastAsia="宋体" w:cs="宋体"/>
          <w:b w:val="0"/>
          <w:kern w:val="2"/>
          <w:sz w:val="24"/>
          <w:szCs w:val="24"/>
          <w:lang w:val="en-US" w:eastAsia="zh-CN" w:bidi="ar-SA"/>
        </w:rPr>
        <w:t>环境卫生要求：成交供应商在设备进场安装、竞赛期间以及退场必须负责现场卫生打扫，保持场地卫生整洁。</w:t>
      </w:r>
    </w:p>
    <w:p w14:paraId="04C247C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9</w:t>
      </w:r>
      <w:r>
        <w:rPr>
          <w:rFonts w:hint="eastAsia" w:ascii="宋体" w:hAnsi="宋体" w:eastAsia="宋体" w:cs="宋体"/>
          <w:b/>
          <w:bCs/>
          <w:kern w:val="2"/>
          <w:sz w:val="24"/>
          <w:szCs w:val="24"/>
          <w:lang w:val="en-US" w:eastAsia="zh-CN" w:bidi="ar-SA"/>
        </w:rPr>
        <w:t>、知识产权：</w:t>
      </w:r>
    </w:p>
    <w:p w14:paraId="2C47821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jc w:val="left"/>
        <w:rPr>
          <w:rFonts w:hint="eastAsia" w:ascii="宋体" w:hAnsi="宋体" w:eastAsia="宋体" w:cs="宋体"/>
          <w:b w:val="0"/>
          <w:kern w:val="2"/>
          <w:sz w:val="24"/>
          <w:szCs w:val="24"/>
          <w:lang w:val="en-US" w:eastAsia="zh-CN" w:bidi="ar-SA"/>
        </w:rPr>
      </w:pPr>
      <w:r>
        <w:rPr>
          <w:rFonts w:hint="eastAsia" w:cs="宋体"/>
          <w:b w:val="0"/>
          <w:kern w:val="2"/>
          <w:sz w:val="24"/>
          <w:szCs w:val="24"/>
          <w:lang w:val="en-US" w:eastAsia="zh-CN" w:bidi="ar-SA"/>
        </w:rPr>
        <w:t>9</w:t>
      </w:r>
      <w:r>
        <w:rPr>
          <w:rFonts w:hint="eastAsia" w:ascii="宋体" w:hAnsi="宋体" w:eastAsia="宋体" w:cs="宋体"/>
          <w:b w:val="0"/>
          <w:kern w:val="2"/>
          <w:sz w:val="24"/>
          <w:szCs w:val="24"/>
          <w:lang w:val="en-US" w:eastAsia="zh-CN" w:bidi="ar-SA"/>
        </w:rPr>
        <w:t>.1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4E578BE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jc w:val="left"/>
        <w:rPr>
          <w:rFonts w:hint="eastAsia" w:ascii="宋体" w:hAnsi="宋体" w:eastAsia="宋体" w:cs="宋体"/>
          <w:b w:val="0"/>
          <w:kern w:val="2"/>
          <w:sz w:val="24"/>
          <w:szCs w:val="24"/>
          <w:lang w:val="en-US" w:eastAsia="zh-CN" w:bidi="ar-SA"/>
        </w:rPr>
      </w:pPr>
      <w:r>
        <w:rPr>
          <w:rFonts w:hint="eastAsia" w:cs="宋体"/>
          <w:b w:val="0"/>
          <w:kern w:val="2"/>
          <w:sz w:val="24"/>
          <w:szCs w:val="24"/>
          <w:lang w:val="en-US" w:eastAsia="zh-CN" w:bidi="ar-SA"/>
        </w:rPr>
        <w:t>9</w:t>
      </w:r>
      <w:r>
        <w:rPr>
          <w:rFonts w:hint="eastAsia" w:ascii="宋体" w:hAnsi="宋体" w:eastAsia="宋体" w:cs="宋体"/>
          <w:b w:val="0"/>
          <w:kern w:val="2"/>
          <w:sz w:val="24"/>
          <w:szCs w:val="24"/>
          <w:lang w:val="en-US" w:eastAsia="zh-CN" w:bidi="ar-SA"/>
        </w:rPr>
        <w:t>.2成交供应商为执行本合同而提供的技术资料、软件，采购人有权进行使用，成交供应商不得主张任何费用。</w:t>
      </w:r>
    </w:p>
    <w:p w14:paraId="7FB1088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0</w:t>
      </w:r>
      <w:r>
        <w:rPr>
          <w:rFonts w:hint="eastAsia" w:ascii="宋体" w:hAnsi="宋体" w:eastAsia="宋体" w:cs="宋体"/>
          <w:b/>
          <w:bCs/>
          <w:kern w:val="2"/>
          <w:sz w:val="24"/>
          <w:szCs w:val="24"/>
          <w:lang w:val="en-US" w:eastAsia="zh-CN" w:bidi="ar-SA"/>
        </w:rPr>
        <w:t>、保密：</w:t>
      </w:r>
    </w:p>
    <w:p w14:paraId="45A1621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w:t>
      </w:r>
      <w:r>
        <w:rPr>
          <w:rFonts w:hint="eastAsia" w:cs="宋体"/>
          <w:b w:val="0"/>
          <w:kern w:val="2"/>
          <w:sz w:val="24"/>
          <w:szCs w:val="24"/>
          <w:lang w:val="en-US" w:eastAsia="zh-CN" w:bidi="ar-SA"/>
        </w:rPr>
        <w:t>0</w:t>
      </w:r>
      <w:r>
        <w:rPr>
          <w:rFonts w:hint="eastAsia" w:ascii="宋体" w:hAnsi="宋体" w:eastAsia="宋体" w:cs="宋体"/>
          <w:b w:val="0"/>
          <w:kern w:val="2"/>
          <w:sz w:val="24"/>
          <w:szCs w:val="24"/>
          <w:lang w:val="en-US" w:eastAsia="zh-CN" w:bidi="ar-SA"/>
        </w:rPr>
        <w:t>.1未经采购人事先书面同意，成交供应商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14:paraId="5B3DAD3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jc w:val="lef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w:t>
      </w:r>
      <w:r>
        <w:rPr>
          <w:rFonts w:hint="eastAsia" w:cs="宋体"/>
          <w:b w:val="0"/>
          <w:kern w:val="2"/>
          <w:sz w:val="24"/>
          <w:szCs w:val="24"/>
          <w:lang w:val="en-US" w:eastAsia="zh-CN" w:bidi="ar-SA"/>
        </w:rPr>
        <w:t>0</w:t>
      </w:r>
      <w:r>
        <w:rPr>
          <w:rFonts w:hint="eastAsia" w:ascii="宋体" w:hAnsi="宋体" w:eastAsia="宋体" w:cs="宋体"/>
          <w:b w:val="0"/>
          <w:kern w:val="2"/>
          <w:sz w:val="24"/>
          <w:szCs w:val="24"/>
          <w:lang w:val="en-US" w:eastAsia="zh-CN" w:bidi="ar-SA"/>
        </w:rPr>
        <w:t>.2除了合同本身之外，上款所列举的任何物件均是采购人的财产。如果采购人有要求，成交供应商在收到采购人的要求后10日内应将这些物件及全部复制件还给采购人，不得留存任何备份。</w:t>
      </w:r>
    </w:p>
    <w:p w14:paraId="682A865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jc w:val="left"/>
        <w:rPr>
          <w:rFonts w:hint="default"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w:t>
      </w:r>
      <w:r>
        <w:rPr>
          <w:rFonts w:hint="eastAsia" w:cs="宋体"/>
          <w:b w:val="0"/>
          <w:kern w:val="2"/>
          <w:sz w:val="24"/>
          <w:szCs w:val="24"/>
          <w:lang w:val="en-US" w:eastAsia="zh-CN" w:bidi="ar-SA"/>
        </w:rPr>
        <w:t>0</w:t>
      </w:r>
      <w:r>
        <w:rPr>
          <w:rFonts w:hint="eastAsia" w:ascii="宋体" w:hAnsi="宋体" w:eastAsia="宋体" w:cs="宋体"/>
          <w:b w:val="0"/>
          <w:kern w:val="2"/>
          <w:sz w:val="24"/>
          <w:szCs w:val="24"/>
          <w:lang w:val="en-US" w:eastAsia="zh-CN" w:bidi="ar-SA"/>
        </w:rPr>
        <w:t>.3成交供应商违反本保密条款的，应支付合同总金额5%的违约金，并赔偿由此给采购人造成的任何损失。本条款在本合同履行期间至履行结束后均有效</w:t>
      </w:r>
      <w:r>
        <w:rPr>
          <w:rFonts w:hint="eastAsia" w:cs="宋体"/>
          <w:b w:val="0"/>
          <w:kern w:val="2"/>
          <w:sz w:val="24"/>
          <w:szCs w:val="24"/>
          <w:lang w:val="en-US" w:eastAsia="zh-CN" w:bidi="ar-SA"/>
        </w:rPr>
        <w:t>。</w:t>
      </w:r>
    </w:p>
    <w:p w14:paraId="4270D1B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1</w:t>
      </w:r>
      <w:r>
        <w:rPr>
          <w:rFonts w:hint="eastAsia" w:ascii="宋体" w:hAnsi="宋体" w:eastAsia="宋体" w:cs="宋体"/>
          <w:b/>
          <w:bCs/>
          <w:kern w:val="2"/>
          <w:sz w:val="24"/>
          <w:szCs w:val="24"/>
          <w:lang w:val="en-US" w:eastAsia="zh-CN" w:bidi="ar-SA"/>
        </w:rPr>
        <w:t>、违约责任：</w:t>
      </w:r>
    </w:p>
    <w:p w14:paraId="596C31C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11.1</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b w:val="0"/>
          <w:bCs w:val="0"/>
          <w:sz w:val="24"/>
          <w:szCs w:val="24"/>
          <w:lang w:val="en-US" w:eastAsia="zh-CN"/>
        </w:rPr>
        <w:t>无法提供中标的平台或者与合同不符，导致合同无法履约的，</w:t>
      </w:r>
      <w:r>
        <w:rPr>
          <w:rFonts w:hint="eastAsia" w:cs="宋体"/>
          <w:b w:val="0"/>
          <w:bCs w:val="0"/>
          <w:sz w:val="24"/>
          <w:szCs w:val="24"/>
          <w:lang w:val="en-US" w:eastAsia="zh-CN"/>
        </w:rPr>
        <w:t>采购人</w:t>
      </w:r>
      <w:r>
        <w:rPr>
          <w:rFonts w:hint="eastAsia" w:ascii="宋体" w:hAnsi="宋体" w:eastAsia="宋体" w:cs="宋体"/>
          <w:b w:val="0"/>
          <w:bCs w:val="0"/>
          <w:sz w:val="24"/>
          <w:szCs w:val="24"/>
          <w:lang w:val="en-US" w:eastAsia="zh-CN"/>
        </w:rPr>
        <w:t>有权解除合同。</w:t>
      </w:r>
    </w:p>
    <w:p w14:paraId="18687A9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11.2</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b w:val="0"/>
          <w:bCs w:val="0"/>
          <w:sz w:val="24"/>
          <w:szCs w:val="24"/>
          <w:lang w:val="en-US" w:eastAsia="zh-CN"/>
        </w:rPr>
        <w:t>未按合同约定日期部署平台的，应按照每逾期一日2000元的标准向</w:t>
      </w:r>
      <w:r>
        <w:rPr>
          <w:rFonts w:hint="eastAsia" w:cs="宋体"/>
          <w:b w:val="0"/>
          <w:bCs w:val="0"/>
          <w:sz w:val="24"/>
          <w:szCs w:val="24"/>
          <w:lang w:val="en-US" w:eastAsia="zh-CN"/>
        </w:rPr>
        <w:t>采购人</w:t>
      </w:r>
      <w:r>
        <w:rPr>
          <w:rFonts w:hint="eastAsia" w:ascii="宋体" w:hAnsi="宋体" w:eastAsia="宋体" w:cs="宋体"/>
          <w:b w:val="0"/>
          <w:bCs w:val="0"/>
          <w:sz w:val="24"/>
          <w:szCs w:val="24"/>
          <w:lang w:val="en-US" w:eastAsia="zh-CN"/>
        </w:rPr>
        <w:t>支付违约金。累计逾期满3日的，</w:t>
      </w:r>
      <w:r>
        <w:rPr>
          <w:rFonts w:hint="eastAsia" w:cs="宋体"/>
          <w:b w:val="0"/>
          <w:bCs w:val="0"/>
          <w:sz w:val="24"/>
          <w:szCs w:val="24"/>
          <w:lang w:val="en-US" w:eastAsia="zh-CN"/>
        </w:rPr>
        <w:t>采购人</w:t>
      </w:r>
      <w:r>
        <w:rPr>
          <w:rFonts w:hint="eastAsia" w:ascii="宋体" w:hAnsi="宋体" w:eastAsia="宋体" w:cs="宋体"/>
          <w:b w:val="0"/>
          <w:bCs w:val="0"/>
          <w:sz w:val="24"/>
          <w:szCs w:val="24"/>
          <w:lang w:val="en-US" w:eastAsia="zh-CN"/>
        </w:rPr>
        <w:t>有权解除合同。</w:t>
      </w:r>
    </w:p>
    <w:p w14:paraId="4837F2A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11.3</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b w:val="0"/>
          <w:bCs w:val="0"/>
          <w:sz w:val="24"/>
          <w:szCs w:val="24"/>
          <w:lang w:val="en-US" w:eastAsia="zh-CN"/>
        </w:rPr>
        <w:t>若在竞赛期间出现设备质量或技术保障不力的问题，导致影响竞赛过程的，出现1次的扣除</w:t>
      </w:r>
      <w:r>
        <w:rPr>
          <w:rFonts w:hint="eastAsia" w:cs="宋体"/>
          <w:b w:val="0"/>
          <w:bCs w:val="0"/>
          <w:sz w:val="24"/>
          <w:szCs w:val="24"/>
          <w:lang w:val="en-US" w:eastAsia="zh-CN"/>
        </w:rPr>
        <w:t>合同金额</w:t>
      </w:r>
      <w:r>
        <w:rPr>
          <w:rFonts w:hint="eastAsia" w:ascii="宋体" w:hAnsi="宋体" w:eastAsia="宋体" w:cs="宋体"/>
          <w:b w:val="0"/>
          <w:bCs w:val="0"/>
          <w:sz w:val="24"/>
          <w:szCs w:val="24"/>
          <w:lang w:val="en-US" w:eastAsia="zh-CN"/>
        </w:rPr>
        <w:t>2000元，出现2次的扣除</w:t>
      </w:r>
      <w:r>
        <w:rPr>
          <w:rFonts w:hint="eastAsia" w:cs="宋体"/>
          <w:b w:val="0"/>
          <w:bCs w:val="0"/>
          <w:sz w:val="24"/>
          <w:szCs w:val="24"/>
          <w:lang w:val="en-US" w:eastAsia="zh-CN"/>
        </w:rPr>
        <w:t>合同金额</w:t>
      </w:r>
      <w:r>
        <w:rPr>
          <w:rFonts w:hint="eastAsia" w:ascii="宋体" w:hAnsi="宋体" w:eastAsia="宋体" w:cs="宋体"/>
          <w:b w:val="0"/>
          <w:bCs w:val="0"/>
          <w:sz w:val="24"/>
          <w:szCs w:val="24"/>
          <w:lang w:val="en-US" w:eastAsia="zh-CN"/>
        </w:rPr>
        <w:t>5000元，出现3次以上或严重影响竞赛的，</w:t>
      </w:r>
      <w:r>
        <w:rPr>
          <w:rFonts w:hint="eastAsia" w:cs="宋体"/>
          <w:b w:val="0"/>
          <w:bCs w:val="0"/>
          <w:sz w:val="24"/>
          <w:szCs w:val="24"/>
          <w:lang w:val="en-US" w:eastAsia="zh-CN"/>
        </w:rPr>
        <w:t>采购人</w:t>
      </w:r>
      <w:r>
        <w:rPr>
          <w:rFonts w:hint="eastAsia" w:ascii="宋体" w:hAnsi="宋体" w:eastAsia="宋体" w:cs="宋体"/>
          <w:b w:val="0"/>
          <w:bCs w:val="0"/>
          <w:sz w:val="24"/>
          <w:szCs w:val="24"/>
          <w:lang w:val="en-US" w:eastAsia="zh-CN"/>
        </w:rPr>
        <w:t>有权终止合同。</w:t>
      </w:r>
    </w:p>
    <w:p w14:paraId="15425400">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11.4</w:t>
      </w:r>
      <w:r>
        <w:rPr>
          <w:rFonts w:hint="eastAsia" w:ascii="宋体" w:hAnsi="宋体" w:eastAsia="宋体" w:cs="宋体"/>
          <w:b w:val="0"/>
          <w:bCs w:val="0"/>
          <w:sz w:val="24"/>
          <w:szCs w:val="24"/>
          <w:lang w:val="en-US" w:eastAsia="zh-CN"/>
        </w:rPr>
        <w:t>其他约定：未约定的事项，按照国家、地方的法律法规执行。</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textAlignment w:val="auto"/>
        <w:rPr>
          <w:rFonts w:hint="eastAsia" w:eastAsia="宋体"/>
          <w:szCs w:val="24"/>
          <w:lang w:eastAsia="zh-CN"/>
        </w:rPr>
      </w:pPr>
      <w:r>
        <w:rPr>
          <w:rFonts w:hint="eastAsia" w:cs="宋体"/>
          <w:b/>
          <w:bCs/>
          <w:szCs w:val="24"/>
          <w:lang w:val="en-US" w:eastAsia="zh-CN"/>
        </w:rPr>
        <w:t>12</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12</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12</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12</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2</w:t>
      </w:r>
      <w:r>
        <w:rPr>
          <w:rFonts w:hint="eastAsia" w:ascii="宋体" w:hAnsi="宋体" w:eastAsia="宋体" w:cs="宋体"/>
          <w:b w:val="0"/>
          <w:bCs w:val="0"/>
          <w:sz w:val="24"/>
          <w:szCs w:val="24"/>
          <w:lang w:val="en-US" w:eastAsia="zh-CN"/>
        </w:rPr>
        <w:t>.4供应商不得存在虚假应标谋取中标等行为，一经发现将取消其成交资格，并对其追究相关法律的责任。若第一成交候选人因不可抗力或自身原因提出不能履行合同，采购人可以重新招标。</w:t>
      </w:r>
    </w:p>
    <w:p w14:paraId="7D06068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w:t>
      </w:r>
      <w:r>
        <w:rPr>
          <w:rFonts w:hint="eastAsia" w:cs="宋体"/>
          <w:b w:val="0"/>
          <w:bCs w:val="0"/>
          <w:sz w:val="24"/>
          <w:szCs w:val="24"/>
          <w:lang w:val="en-US" w:eastAsia="zh-CN"/>
        </w:rPr>
        <w:t>2</w:t>
      </w:r>
      <w:r>
        <w:rPr>
          <w:rFonts w:hint="default" w:ascii="宋体" w:hAnsi="宋体" w:eastAsia="宋体" w:cs="宋体"/>
          <w:b w:val="0"/>
          <w:bCs w:val="0"/>
          <w:sz w:val="24"/>
          <w:szCs w:val="24"/>
          <w:lang w:val="en-US" w:eastAsia="zh-CN"/>
        </w:rPr>
        <w:t>.6纠纷处理方式</w:t>
      </w:r>
      <w:r>
        <w:rPr>
          <w:rFonts w:hint="eastAsia" w:cs="宋体"/>
          <w:b w:val="0"/>
          <w:bCs w:val="0"/>
          <w:sz w:val="24"/>
          <w:szCs w:val="24"/>
          <w:lang w:val="en-US" w:eastAsia="zh-CN"/>
        </w:rPr>
        <w:t>：</w:t>
      </w:r>
    </w:p>
    <w:p w14:paraId="1A8F0CE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w:t>
      </w:r>
      <w:r>
        <w:rPr>
          <w:rFonts w:hint="eastAsia" w:cs="宋体"/>
          <w:b w:val="0"/>
          <w:bCs w:val="0"/>
          <w:sz w:val="24"/>
          <w:szCs w:val="24"/>
          <w:lang w:val="en-US" w:eastAsia="zh-CN"/>
        </w:rPr>
        <w:t>2</w:t>
      </w:r>
      <w:r>
        <w:rPr>
          <w:rFonts w:hint="default" w:ascii="宋体" w:hAnsi="宋体" w:eastAsia="宋体" w:cs="宋体"/>
          <w:b w:val="0"/>
          <w:bCs w:val="0"/>
          <w:sz w:val="24"/>
          <w:szCs w:val="24"/>
          <w:lang w:val="en-US" w:eastAsia="zh-CN"/>
        </w:rPr>
        <w:t>.6.1甲、乙双方协商解决。</w:t>
      </w:r>
    </w:p>
    <w:p w14:paraId="6B8545AA">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w:t>
      </w:r>
      <w:r>
        <w:rPr>
          <w:rFonts w:hint="eastAsia" w:cs="宋体"/>
          <w:b w:val="0"/>
          <w:bCs w:val="0"/>
          <w:sz w:val="24"/>
          <w:szCs w:val="24"/>
          <w:lang w:val="en-US" w:eastAsia="zh-CN"/>
        </w:rPr>
        <w:t>2</w:t>
      </w:r>
      <w:r>
        <w:rPr>
          <w:rFonts w:hint="default" w:ascii="宋体" w:hAnsi="宋体" w:eastAsia="宋体" w:cs="宋体"/>
          <w:b w:val="0"/>
          <w:bCs w:val="0"/>
          <w:sz w:val="24"/>
          <w:szCs w:val="24"/>
          <w:lang w:val="en-US" w:eastAsia="zh-CN"/>
        </w:rPr>
        <w:t>.6.2若协商解决不成，则通过下列途径解决：向人民法院提起诉讼。具体如下：向采</w:t>
      </w:r>
    </w:p>
    <w:p w14:paraId="4D4042A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textAlignment w:val="auto"/>
        <w:rPr>
          <w:rFonts w:hint="eastAsia" w:ascii="宋体" w:hAnsi="宋体"/>
          <w:b/>
          <w:bCs/>
          <w:color w:val="auto"/>
          <w:sz w:val="36"/>
          <w:szCs w:val="36"/>
          <w:highlight w:val="none"/>
        </w:rPr>
      </w:pPr>
      <w:r>
        <w:rPr>
          <w:rFonts w:hint="default" w:ascii="宋体" w:hAnsi="宋体" w:eastAsia="宋体" w:cs="宋体"/>
          <w:b w:val="0"/>
          <w:bCs w:val="0"/>
          <w:sz w:val="24"/>
          <w:szCs w:val="24"/>
          <w:lang w:val="en-US" w:eastAsia="zh-CN"/>
        </w:rPr>
        <w:t>购方住所地人民法院提起。</w:t>
      </w: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583"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878"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ascii="宋体" w:hAnsi="宋体" w:cs="宋体"/>
                <w:color w:val="auto"/>
                <w:sz w:val="24"/>
                <w:highlight w:val="none"/>
              </w:rPr>
            </w:pPr>
          </w:p>
        </w:tc>
        <w:tc>
          <w:tcPr>
            <w:tcW w:w="1583" w:type="dxa"/>
            <w:vAlign w:val="center"/>
          </w:tcPr>
          <w:p w14:paraId="03E2BE46">
            <w:pPr>
              <w:spacing w:line="360" w:lineRule="auto"/>
              <w:jc w:val="center"/>
              <w:rPr>
                <w:rFonts w:ascii="宋体" w:hAnsi="宋体" w:cs="宋体"/>
                <w:color w:val="auto"/>
                <w:sz w:val="24"/>
                <w:highlight w:val="none"/>
              </w:rPr>
            </w:pPr>
          </w:p>
        </w:tc>
        <w:tc>
          <w:tcPr>
            <w:tcW w:w="1878"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583" w:type="dxa"/>
            <w:vAlign w:val="center"/>
          </w:tcPr>
          <w:p w14:paraId="138BAC3E">
            <w:pPr>
              <w:spacing w:line="360" w:lineRule="auto"/>
              <w:jc w:val="center"/>
              <w:rPr>
                <w:rFonts w:ascii="宋体" w:hAnsi="宋体" w:cs="宋体"/>
                <w:color w:val="auto"/>
                <w:sz w:val="24"/>
                <w:highlight w:val="none"/>
              </w:rPr>
            </w:pPr>
          </w:p>
        </w:tc>
        <w:tc>
          <w:tcPr>
            <w:tcW w:w="1878"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ascii="宋体" w:hAnsi="宋体"/>
                <w:color w:val="auto"/>
                <w:sz w:val="24"/>
                <w:highlight w:val="none"/>
              </w:rPr>
            </w:pP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注：供应商在竞价系统中提交报价时须上传该《报价一览表》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C902C25">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3"/>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3"/>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596"/>
        <w:gridCol w:w="1677"/>
        <w:gridCol w:w="1631"/>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60"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19"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3152" w:type="dxa"/>
            <w:vAlign w:val="center"/>
          </w:tcPr>
          <w:p w14:paraId="0E52BE85">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名称</w:t>
            </w:r>
          </w:p>
        </w:tc>
        <w:tc>
          <w:tcPr>
            <w:tcW w:w="1596"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77"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单价</w:t>
            </w:r>
          </w:p>
        </w:tc>
        <w:tc>
          <w:tcPr>
            <w:tcW w:w="1631" w:type="dxa"/>
            <w:vAlign w:val="center"/>
          </w:tcPr>
          <w:p w14:paraId="268DAFF1">
            <w:pPr>
              <w:pStyle w:val="9"/>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60"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19"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p>
        </w:tc>
        <w:tc>
          <w:tcPr>
            <w:tcW w:w="3152" w:type="dxa"/>
            <w:vAlign w:val="center"/>
          </w:tcPr>
          <w:p w14:paraId="67DFC6A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竞赛平台租赁</w:t>
            </w:r>
          </w:p>
        </w:tc>
        <w:tc>
          <w:tcPr>
            <w:tcW w:w="1596" w:type="dxa"/>
            <w:shd w:val="clear" w:color="auto" w:fill="auto"/>
            <w:vAlign w:val="center"/>
          </w:tcPr>
          <w:p w14:paraId="78D194F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1项</w:t>
            </w:r>
          </w:p>
        </w:tc>
        <w:tc>
          <w:tcPr>
            <w:tcW w:w="1677" w:type="dxa"/>
            <w:shd w:val="clear" w:color="auto" w:fill="auto"/>
            <w:vAlign w:val="center"/>
          </w:tcPr>
          <w:p w14:paraId="1D4726F4">
            <w:pPr>
              <w:widowControl/>
              <w:spacing w:line="240" w:lineRule="auto"/>
              <w:jc w:val="left"/>
              <w:rPr>
                <w:rFonts w:ascii="宋体" w:hAnsi="宋体"/>
                <w:color w:val="auto"/>
                <w:sz w:val="24"/>
                <w:highlight w:val="none"/>
              </w:rPr>
            </w:pPr>
          </w:p>
        </w:tc>
        <w:tc>
          <w:tcPr>
            <w:tcW w:w="1631"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860" w:type="dxa"/>
            <w:vMerge w:val="continue"/>
            <w:vAlign w:val="center"/>
          </w:tcPr>
          <w:p w14:paraId="2A70B31E">
            <w:pPr>
              <w:widowControl/>
              <w:spacing w:line="240" w:lineRule="auto"/>
              <w:jc w:val="left"/>
            </w:pPr>
          </w:p>
        </w:tc>
        <w:tc>
          <w:tcPr>
            <w:tcW w:w="719"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3152" w:type="dxa"/>
            <w:vAlign w:val="center"/>
          </w:tcPr>
          <w:p w14:paraId="5EA03E4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竞赛平台安装与调试</w:t>
            </w:r>
          </w:p>
        </w:tc>
        <w:tc>
          <w:tcPr>
            <w:tcW w:w="1596" w:type="dxa"/>
            <w:shd w:val="clear" w:color="auto" w:fill="auto"/>
            <w:vAlign w:val="center"/>
          </w:tcPr>
          <w:p w14:paraId="428BC1E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1项</w:t>
            </w:r>
          </w:p>
        </w:tc>
        <w:tc>
          <w:tcPr>
            <w:tcW w:w="1677" w:type="dxa"/>
            <w:shd w:val="clear" w:color="auto" w:fill="auto"/>
            <w:vAlign w:val="center"/>
          </w:tcPr>
          <w:p w14:paraId="2EE783A2">
            <w:pPr>
              <w:widowControl/>
              <w:spacing w:line="240" w:lineRule="auto"/>
              <w:jc w:val="left"/>
              <w:rPr>
                <w:rFonts w:hint="eastAsia" w:ascii="宋体" w:hAnsi="宋体" w:eastAsia="宋体"/>
                <w:color w:val="auto"/>
                <w:sz w:val="24"/>
                <w:highlight w:val="none"/>
                <w:lang w:val="en-US" w:eastAsia="zh-CN"/>
              </w:rPr>
            </w:pPr>
          </w:p>
        </w:tc>
        <w:tc>
          <w:tcPr>
            <w:tcW w:w="1631"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004" w:type="dxa"/>
            <w:gridSpan w:val="5"/>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631"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75133E90">
      <w:pPr>
        <w:pStyle w:val="33"/>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5506AA03">
      <w:pPr>
        <w:spacing w:line="360" w:lineRule="auto"/>
      </w:pPr>
      <w:r>
        <w:rPr>
          <w:rFonts w:hint="eastAsia" w:ascii="宋体" w:hAnsi="宋体"/>
          <w:color w:val="auto"/>
          <w:sz w:val="24"/>
          <w:highlight w:val="none"/>
        </w:rPr>
        <w:t>日期：</w:t>
      </w:r>
    </w:p>
    <w:p w14:paraId="2FECC45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1DE284B"/>
    <w:rsid w:val="02BC2FB5"/>
    <w:rsid w:val="03511AD9"/>
    <w:rsid w:val="03ED3BD7"/>
    <w:rsid w:val="046E6DD0"/>
    <w:rsid w:val="047E5946"/>
    <w:rsid w:val="04C91366"/>
    <w:rsid w:val="05017C52"/>
    <w:rsid w:val="056025B0"/>
    <w:rsid w:val="05B64224"/>
    <w:rsid w:val="061C715B"/>
    <w:rsid w:val="0696261C"/>
    <w:rsid w:val="07702EBF"/>
    <w:rsid w:val="08293E73"/>
    <w:rsid w:val="0972111F"/>
    <w:rsid w:val="09A06EBC"/>
    <w:rsid w:val="0A482682"/>
    <w:rsid w:val="0AF75143"/>
    <w:rsid w:val="0B043CFB"/>
    <w:rsid w:val="0CA2647A"/>
    <w:rsid w:val="0D2167C4"/>
    <w:rsid w:val="0D2D3085"/>
    <w:rsid w:val="0DAA7832"/>
    <w:rsid w:val="0DD979BE"/>
    <w:rsid w:val="0E0D1416"/>
    <w:rsid w:val="0FBD7DE5"/>
    <w:rsid w:val="10362DC0"/>
    <w:rsid w:val="10CE3388"/>
    <w:rsid w:val="10E42CCD"/>
    <w:rsid w:val="11790FDD"/>
    <w:rsid w:val="11AD4ADB"/>
    <w:rsid w:val="126445BB"/>
    <w:rsid w:val="14DD66A2"/>
    <w:rsid w:val="15512530"/>
    <w:rsid w:val="164556E1"/>
    <w:rsid w:val="16810234"/>
    <w:rsid w:val="17254BB9"/>
    <w:rsid w:val="175D4ED0"/>
    <w:rsid w:val="17A728DB"/>
    <w:rsid w:val="192817FA"/>
    <w:rsid w:val="199476C8"/>
    <w:rsid w:val="19C44ADF"/>
    <w:rsid w:val="19F043F2"/>
    <w:rsid w:val="1A0F193E"/>
    <w:rsid w:val="1A512FD2"/>
    <w:rsid w:val="1AA3690C"/>
    <w:rsid w:val="1AC71843"/>
    <w:rsid w:val="1AD364FF"/>
    <w:rsid w:val="1ADE3486"/>
    <w:rsid w:val="1B08700D"/>
    <w:rsid w:val="1B261D69"/>
    <w:rsid w:val="1BF43CB2"/>
    <w:rsid w:val="1C7D1E5D"/>
    <w:rsid w:val="1DAA6E61"/>
    <w:rsid w:val="1E0F3C2B"/>
    <w:rsid w:val="1E2C09AB"/>
    <w:rsid w:val="1E897F61"/>
    <w:rsid w:val="1F1C42EA"/>
    <w:rsid w:val="1F686EFF"/>
    <w:rsid w:val="1F87181B"/>
    <w:rsid w:val="1FB37FF3"/>
    <w:rsid w:val="21150CB8"/>
    <w:rsid w:val="213B2764"/>
    <w:rsid w:val="21657A51"/>
    <w:rsid w:val="23B73EA6"/>
    <w:rsid w:val="23F4427C"/>
    <w:rsid w:val="25333A88"/>
    <w:rsid w:val="25776FB2"/>
    <w:rsid w:val="26B047DC"/>
    <w:rsid w:val="26BD4622"/>
    <w:rsid w:val="26C54B2C"/>
    <w:rsid w:val="27BC5F2F"/>
    <w:rsid w:val="27C42B43"/>
    <w:rsid w:val="28C13F2B"/>
    <w:rsid w:val="2A604980"/>
    <w:rsid w:val="2A727AC6"/>
    <w:rsid w:val="2B5318E1"/>
    <w:rsid w:val="2BCE7FDF"/>
    <w:rsid w:val="2CC80594"/>
    <w:rsid w:val="2D484F7D"/>
    <w:rsid w:val="2D8017AD"/>
    <w:rsid w:val="2DDE2D69"/>
    <w:rsid w:val="2E1E7D97"/>
    <w:rsid w:val="2EBE2586"/>
    <w:rsid w:val="2ECC1930"/>
    <w:rsid w:val="2F4F4B8D"/>
    <w:rsid w:val="312D39F9"/>
    <w:rsid w:val="31A35457"/>
    <w:rsid w:val="31B67ACD"/>
    <w:rsid w:val="334D7ECB"/>
    <w:rsid w:val="336F02F9"/>
    <w:rsid w:val="33F45566"/>
    <w:rsid w:val="34160775"/>
    <w:rsid w:val="3444677B"/>
    <w:rsid w:val="3503072C"/>
    <w:rsid w:val="356F257B"/>
    <w:rsid w:val="35786F8C"/>
    <w:rsid w:val="35E30AE8"/>
    <w:rsid w:val="36F5483C"/>
    <w:rsid w:val="389425B0"/>
    <w:rsid w:val="39137979"/>
    <w:rsid w:val="39524D90"/>
    <w:rsid w:val="3A9D764F"/>
    <w:rsid w:val="3C271A02"/>
    <w:rsid w:val="3C65673D"/>
    <w:rsid w:val="3CE851D3"/>
    <w:rsid w:val="3D035E9B"/>
    <w:rsid w:val="3D50551B"/>
    <w:rsid w:val="3D6C7658"/>
    <w:rsid w:val="3DC2628F"/>
    <w:rsid w:val="3DD60AE2"/>
    <w:rsid w:val="3E5C0069"/>
    <w:rsid w:val="3E7A2DAA"/>
    <w:rsid w:val="3E8B1175"/>
    <w:rsid w:val="3EB412B6"/>
    <w:rsid w:val="3F9E5AC2"/>
    <w:rsid w:val="3FAC28BB"/>
    <w:rsid w:val="3FB97B2C"/>
    <w:rsid w:val="40181D19"/>
    <w:rsid w:val="40BD676E"/>
    <w:rsid w:val="417E75E8"/>
    <w:rsid w:val="41910115"/>
    <w:rsid w:val="41D908F9"/>
    <w:rsid w:val="438B3EDE"/>
    <w:rsid w:val="4495014D"/>
    <w:rsid w:val="44AD0C2A"/>
    <w:rsid w:val="44F31851"/>
    <w:rsid w:val="45AA573E"/>
    <w:rsid w:val="45B275F5"/>
    <w:rsid w:val="46BC33FE"/>
    <w:rsid w:val="46EE7477"/>
    <w:rsid w:val="47BC0C07"/>
    <w:rsid w:val="486D6713"/>
    <w:rsid w:val="489259CA"/>
    <w:rsid w:val="498B3956"/>
    <w:rsid w:val="4A4E42C3"/>
    <w:rsid w:val="4BB0030E"/>
    <w:rsid w:val="4BC53306"/>
    <w:rsid w:val="4C15710C"/>
    <w:rsid w:val="4C2E5FB6"/>
    <w:rsid w:val="4C63431C"/>
    <w:rsid w:val="4C9444D5"/>
    <w:rsid w:val="4CE2174D"/>
    <w:rsid w:val="4D505935"/>
    <w:rsid w:val="4D72372E"/>
    <w:rsid w:val="4E141911"/>
    <w:rsid w:val="4E370E84"/>
    <w:rsid w:val="4EBB778D"/>
    <w:rsid w:val="4F7C19ED"/>
    <w:rsid w:val="4FB142EA"/>
    <w:rsid w:val="506863A4"/>
    <w:rsid w:val="508F27C5"/>
    <w:rsid w:val="50F55D99"/>
    <w:rsid w:val="513814F5"/>
    <w:rsid w:val="513B5867"/>
    <w:rsid w:val="51497716"/>
    <w:rsid w:val="51A30093"/>
    <w:rsid w:val="520457CB"/>
    <w:rsid w:val="522C2C59"/>
    <w:rsid w:val="539774E2"/>
    <w:rsid w:val="53C953AC"/>
    <w:rsid w:val="541A03F5"/>
    <w:rsid w:val="54C5216A"/>
    <w:rsid w:val="54D577A2"/>
    <w:rsid w:val="55357439"/>
    <w:rsid w:val="57286DB3"/>
    <w:rsid w:val="57315742"/>
    <w:rsid w:val="589A572D"/>
    <w:rsid w:val="589B7196"/>
    <w:rsid w:val="58C92DB8"/>
    <w:rsid w:val="590271D1"/>
    <w:rsid w:val="594608FB"/>
    <w:rsid w:val="5A2C4216"/>
    <w:rsid w:val="5A3433AD"/>
    <w:rsid w:val="5A550A07"/>
    <w:rsid w:val="5B761B8D"/>
    <w:rsid w:val="5BC000BF"/>
    <w:rsid w:val="5D01514B"/>
    <w:rsid w:val="5DBA0782"/>
    <w:rsid w:val="5F2D396D"/>
    <w:rsid w:val="60D04179"/>
    <w:rsid w:val="60E47381"/>
    <w:rsid w:val="61C7729B"/>
    <w:rsid w:val="62641034"/>
    <w:rsid w:val="6374691F"/>
    <w:rsid w:val="63BA7B71"/>
    <w:rsid w:val="63BC0257"/>
    <w:rsid w:val="643B2EFE"/>
    <w:rsid w:val="644665A5"/>
    <w:rsid w:val="64CE267E"/>
    <w:rsid w:val="65005919"/>
    <w:rsid w:val="665A019F"/>
    <w:rsid w:val="6672068F"/>
    <w:rsid w:val="66AD46B9"/>
    <w:rsid w:val="670C6B88"/>
    <w:rsid w:val="67BF44A6"/>
    <w:rsid w:val="68975621"/>
    <w:rsid w:val="689F61CC"/>
    <w:rsid w:val="68AC5DD9"/>
    <w:rsid w:val="68C926A3"/>
    <w:rsid w:val="692857E0"/>
    <w:rsid w:val="69935D1A"/>
    <w:rsid w:val="69E70454"/>
    <w:rsid w:val="6A6C5C24"/>
    <w:rsid w:val="6A832AFB"/>
    <w:rsid w:val="6B5E6742"/>
    <w:rsid w:val="6CD40DBF"/>
    <w:rsid w:val="6D0D24E0"/>
    <w:rsid w:val="6D4B5988"/>
    <w:rsid w:val="6DA050EC"/>
    <w:rsid w:val="6DFD21E5"/>
    <w:rsid w:val="6E0440FB"/>
    <w:rsid w:val="6ED44ED9"/>
    <w:rsid w:val="70030FCD"/>
    <w:rsid w:val="703B20B6"/>
    <w:rsid w:val="724A1DFC"/>
    <w:rsid w:val="72845AC6"/>
    <w:rsid w:val="72916AD9"/>
    <w:rsid w:val="72F8490A"/>
    <w:rsid w:val="73D239B1"/>
    <w:rsid w:val="73ED08CD"/>
    <w:rsid w:val="73F676A0"/>
    <w:rsid w:val="74120755"/>
    <w:rsid w:val="745C662B"/>
    <w:rsid w:val="74B308B5"/>
    <w:rsid w:val="75247769"/>
    <w:rsid w:val="753F0E71"/>
    <w:rsid w:val="75645785"/>
    <w:rsid w:val="75716A92"/>
    <w:rsid w:val="758D2516"/>
    <w:rsid w:val="7599235F"/>
    <w:rsid w:val="75AE2AF5"/>
    <w:rsid w:val="75BD7F3E"/>
    <w:rsid w:val="7858402F"/>
    <w:rsid w:val="78D50787"/>
    <w:rsid w:val="79B17807"/>
    <w:rsid w:val="79FE2EB5"/>
    <w:rsid w:val="7AE26EA4"/>
    <w:rsid w:val="7B8F04A8"/>
    <w:rsid w:val="7C95557C"/>
    <w:rsid w:val="7D3A4490"/>
    <w:rsid w:val="7D3F0A9F"/>
    <w:rsid w:val="7DC41D70"/>
    <w:rsid w:val="7F034C8E"/>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11252</Words>
  <Characters>11804</Characters>
  <Lines>186</Lines>
  <Paragraphs>52</Paragraphs>
  <TotalTime>0</TotalTime>
  <ScaleCrop>false</ScaleCrop>
  <LinksUpToDate>false</LinksUpToDate>
  <CharactersWithSpaces>12254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2025-10-22T02:34:09Z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