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53A67558">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JJZB-WJ-2025017</w:t>
      </w:r>
      <w:r>
        <w:rPr>
          <w:rFonts w:hint="eastAsia" w:hAnsi="宋体"/>
          <w:b/>
          <w:color w:val="auto"/>
          <w:sz w:val="32"/>
          <w:szCs w:val="32"/>
          <w:highlight w:val="none"/>
          <w:lang w:val="en-US" w:eastAsia="zh-CN"/>
        </w:rPr>
        <w:t>-1</w:t>
      </w:r>
      <w:r>
        <w:rPr>
          <w:rFonts w:hint="eastAsia" w:hAnsi="宋体"/>
          <w:b/>
          <w:color w:val="auto"/>
          <w:sz w:val="32"/>
          <w:szCs w:val="32"/>
          <w:highlight w:val="none"/>
          <w:lang w:eastAsia="zh-CN"/>
        </w:rPr>
        <w:t xml:space="preserve"> </w:t>
      </w:r>
    </w:p>
    <w:p w14:paraId="6385ECEA">
      <w:pPr>
        <w:pStyle w:val="10"/>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福州职业技术学院水平衡测试服务项目（</w:t>
      </w:r>
      <w:r>
        <w:rPr>
          <w:rFonts w:hint="eastAsia" w:hAnsi="宋体"/>
          <w:b/>
          <w:color w:val="auto"/>
          <w:sz w:val="32"/>
          <w:szCs w:val="32"/>
          <w:highlight w:val="none"/>
          <w:lang w:val="en-US" w:eastAsia="zh-CN"/>
        </w:rPr>
        <w:t>二次</w:t>
      </w:r>
      <w:r>
        <w:rPr>
          <w:rFonts w:hint="eastAsia" w:hAnsi="宋体"/>
          <w:b/>
          <w:color w:val="auto"/>
          <w:sz w:val="32"/>
          <w:szCs w:val="32"/>
          <w:highlight w:val="none"/>
          <w:lang w:eastAsia="zh-CN"/>
        </w:rPr>
        <w:t>）</w:t>
      </w:r>
    </w:p>
    <w:p w14:paraId="4D39A686">
      <w:pPr>
        <w:pStyle w:val="10"/>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5"/>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0D9978F">
      <w:pPr>
        <w:pStyle w:val="20"/>
        <w:rPr>
          <w:rFonts w:hint="eastAsia"/>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福州职业技术学院水平衡测试服务项目（二次）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JJZB-WJ-2025017</w:t>
      </w:r>
      <w:r>
        <w:rPr>
          <w:rFonts w:hint="eastAsia" w:ascii="宋体" w:hAnsi="宋体" w:cs="宋体"/>
          <w:b/>
          <w:bCs/>
          <w:color w:val="auto"/>
          <w:kern w:val="0"/>
          <w:sz w:val="24"/>
          <w:highlight w:val="none"/>
          <w:u w:val="single"/>
          <w:lang w:val="en-US" w:eastAsia="zh-CN"/>
        </w:rPr>
        <w:t>-1</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福州职业技术学院水平衡测试服务项目（二次）</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w:t>
      </w:r>
      <w:r>
        <w:rPr>
          <w:rFonts w:hint="eastAsia" w:ascii="宋体" w:hAnsi="宋体" w:cs="宋体"/>
          <w:b/>
          <w:color w:val="auto"/>
          <w:sz w:val="24"/>
          <w:highlight w:val="none"/>
          <w:lang w:eastAsia="zh-CN"/>
        </w:rPr>
        <w:t>格和</w:t>
      </w:r>
      <w:r>
        <w:rPr>
          <w:rFonts w:hint="eastAsia" w:ascii="宋体" w:hAnsi="宋体" w:eastAsia="宋体" w:cs="宋体"/>
          <w:b/>
          <w:color w:val="auto"/>
          <w:sz w:val="24"/>
          <w:highlight w:val="none"/>
        </w:rPr>
        <w:t>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bookmarkStart w:id="8" w:name="_GoBack"/>
      <w:bookmarkEnd w:id="8"/>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eastAsia="宋体" w:cs="宋体"/>
          <w:color w:val="auto"/>
          <w:kern w:val="0"/>
          <w:sz w:val="24"/>
          <w:highlight w:val="none"/>
        </w:rPr>
        <w:t>:00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（1）有能力提供本网上竞价文件所述服务的法人、事业单位及其他组织均可能成为合格的供应商；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b/>
          <w:bCs/>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b/>
          <w:bCs/>
          <w:sz w:val="24"/>
          <w:highlight w:val="none"/>
          <w:lang w:val="en-US" w:eastAsia="zh-CN"/>
        </w:rPr>
        <w:t>供应商须具备有效的</w:t>
      </w:r>
      <w:r>
        <w:rPr>
          <w:rFonts w:hint="eastAsia" w:ascii="宋体" w:hAnsi="宋体" w:eastAsia="宋体" w:cs="宋体"/>
          <w:b/>
          <w:bCs/>
          <w:sz w:val="24"/>
          <w:highlight w:val="none"/>
          <w:lang w:eastAsia="zh-CN"/>
        </w:rPr>
        <w:t>《检验检测机构资质认定证书》</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须</w:t>
      </w:r>
      <w:r>
        <w:rPr>
          <w:rFonts w:hint="eastAsia" w:ascii="宋体" w:hAnsi="宋体" w:eastAsia="宋体" w:cs="宋体"/>
          <w:b/>
          <w:bCs/>
          <w:sz w:val="24"/>
          <w:highlight w:val="none"/>
          <w:lang w:eastAsia="zh-CN"/>
        </w:rPr>
        <w:t>提供有效的证书复印件</w:t>
      </w:r>
      <w:r>
        <w:rPr>
          <w:rFonts w:hint="eastAsia" w:ascii="宋体" w:hAnsi="宋体" w:cs="宋体"/>
          <w:b/>
          <w:bCs/>
          <w:sz w:val="24"/>
          <w:highlight w:val="none"/>
          <w:lang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500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 xml:space="preserve">邱如荫 13675038683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w:t>
      </w:r>
      <w:r>
        <w:rPr>
          <w:rStyle w:val="31"/>
          <w:rFonts w:hint="eastAsia"/>
          <w:color w:val="auto"/>
          <w:sz w:val="24"/>
          <w:highlight w:val="none"/>
          <w:lang w:val="en-US"/>
        </w:rPr>
        <w:t>的</w:t>
      </w:r>
      <w:r>
        <w:rPr>
          <w:rStyle w:val="31"/>
          <w:rFonts w:hint="eastAsia"/>
          <w:color w:val="auto"/>
          <w:sz w:val="24"/>
          <w:highlight w:val="none"/>
        </w:rPr>
        <w:t>无效响应情形，则报名审核不合格，该供应商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w:t>
      </w:r>
      <w:r>
        <w:rPr>
          <w:rStyle w:val="31"/>
          <w:rFonts w:hint="eastAsia" w:ascii="Times New Roman" w:hAnsi="Times New Roman" w:cs="Times New Roman"/>
          <w:color w:val="auto"/>
          <w:sz w:val="24"/>
          <w:highlight w:val="none"/>
          <w:lang w:val="en-US"/>
        </w:rPr>
        <w:t>后</w:t>
      </w:r>
      <w:r>
        <w:rPr>
          <w:rStyle w:val="31"/>
          <w:rFonts w:hint="eastAsia" w:ascii="Times New Roman" w:hAnsi="Times New Roman" w:cs="Times New Roman"/>
          <w:color w:val="auto"/>
          <w:sz w:val="24"/>
          <w:highlight w:val="none"/>
        </w:rPr>
        <w:t>，采购人将按照相关规定进行后续采购活动（包括但不限于：重新开展网上竞价活动、采用其他方式采购等）。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w:t>
      </w:r>
      <w:r>
        <w:rPr>
          <w:rFonts w:hint="eastAsia" w:ascii="宋体" w:hAnsi="宋体" w:cs="宋体"/>
          <w:b/>
          <w:bCs/>
          <w:color w:val="auto"/>
          <w:kern w:val="2"/>
          <w:sz w:val="24"/>
          <w:szCs w:val="24"/>
          <w:highlight w:val="none"/>
          <w:lang w:val="en-US" w:eastAsia="zh-CN" w:bidi="ar-SA"/>
        </w:rPr>
        <w:t>目</w:t>
      </w:r>
      <w:r>
        <w:rPr>
          <w:rFonts w:hint="eastAsia" w:ascii="宋体" w:hAnsi="宋体" w:eastAsia="宋体" w:cs="宋体"/>
          <w:b/>
          <w:bCs/>
          <w:color w:val="auto"/>
          <w:kern w:val="2"/>
          <w:sz w:val="24"/>
          <w:szCs w:val="24"/>
          <w:highlight w:val="none"/>
          <w:lang w:val="en-US" w:eastAsia="zh-CN" w:bidi="ar-SA"/>
        </w:rPr>
        <w:t>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25054DAB">
      <w:pPr>
        <w:spacing w:line="500" w:lineRule="exact"/>
        <w:ind w:firstLine="480" w:firstLineChars="200"/>
        <w:jc w:val="left"/>
        <w:rPr>
          <w:rFonts w:hint="eastAsia" w:ascii="宋体" w:hAnsi="宋体" w:cs="宋体"/>
          <w:b/>
          <w:color w:val="auto"/>
          <w:kern w:val="0"/>
          <w:sz w:val="28"/>
          <w:szCs w:val="28"/>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384" w:lineRule="exact"/>
        <w:outlineLvl w:val="1"/>
        <w:rPr>
          <w:rFonts w:ascii="宋体" w:hAnsi="宋体" w:cs="宋体"/>
          <w:b/>
          <w:color w:val="auto"/>
          <w:sz w:val="24"/>
          <w:szCs w:val="24"/>
          <w:highlight w:val="none"/>
        </w:rPr>
      </w:pPr>
      <w:bookmarkStart w:id="1" w:name="_Toc359317661"/>
      <w:bookmarkStart w:id="2" w:name="_Toc358016816"/>
      <w:bookmarkStart w:id="3" w:name="_Toc327948617"/>
      <w:bookmarkStart w:id="4" w:name="_Toc346300367"/>
      <w:bookmarkStart w:id="5" w:name="_Toc330567034"/>
      <w:bookmarkStart w:id="6" w:name="_Toc347060296"/>
      <w:r>
        <w:rPr>
          <w:rFonts w:hint="eastAsia" w:ascii="宋体" w:hAnsi="宋体" w:cs="宋体"/>
          <w:b/>
          <w:color w:val="auto"/>
          <w:sz w:val="24"/>
          <w:szCs w:val="24"/>
          <w:highlight w:val="none"/>
        </w:rPr>
        <w:t>一、项目概述</w:t>
      </w:r>
      <w:bookmarkEnd w:id="1"/>
      <w:bookmarkEnd w:id="2"/>
    </w:p>
    <w:p w14:paraId="3A069BC5">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b w:val="0"/>
          <w:bCs w:val="0"/>
          <w:color w:val="auto"/>
          <w:sz w:val="24"/>
          <w:szCs w:val="24"/>
          <w:highlight w:val="none"/>
          <w:lang w:val="en-US" w:eastAsia="zh-CN"/>
        </w:rPr>
        <w:t>1、</w:t>
      </w:r>
      <w:r>
        <w:rPr>
          <w:rFonts w:hint="eastAsia" w:ascii="宋体" w:hAnsi="宋体" w:cs="宋体"/>
          <w:b w:val="0"/>
          <w:bCs w:val="0"/>
          <w:color w:val="auto"/>
          <w:kern w:val="0"/>
          <w:sz w:val="24"/>
          <w:szCs w:val="24"/>
          <w:highlight w:val="none"/>
          <w:lang w:val="en-US" w:eastAsia="zh-CN" w:bidi="ar-SA"/>
        </w:rPr>
        <w:t>根据闽侯县住房和城乡建设局《关于开展2025年水平衡测试工作的通知》要求，采购人月均用水量超过5000立方米（含），需在2025年内完成水平衡测试，并提交《水平衡测试报告书》。</w:t>
      </w:r>
    </w:p>
    <w:p w14:paraId="17DC3AE2">
      <w:pPr>
        <w:pStyle w:val="33"/>
        <w:keepNext w:val="0"/>
        <w:keepLines w:val="0"/>
        <w:pageBreakBefore w:val="0"/>
        <w:kinsoku/>
        <w:wordWrap/>
        <w:overflowPunct/>
        <w:topLinePunct w:val="0"/>
        <w:autoSpaceDE/>
        <w:autoSpaceDN/>
        <w:bidi w:val="0"/>
        <w:adjustRightInd/>
        <w:snapToGrid/>
        <w:spacing w:line="384"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pStyle w:val="33"/>
        <w:keepNext w:val="0"/>
        <w:keepLines w:val="0"/>
        <w:pageBreakBefore w:val="0"/>
        <w:kinsoku/>
        <w:wordWrap/>
        <w:overflowPunct/>
        <w:topLinePunct w:val="0"/>
        <w:autoSpaceDE/>
        <w:autoSpaceDN/>
        <w:bidi w:val="0"/>
        <w:adjustRightInd/>
        <w:snapToGrid/>
        <w:spacing w:line="384"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金额单位：人民币元</w:t>
      </w:r>
    </w:p>
    <w:tbl>
      <w:tblPr>
        <w:tblStyle w:val="22"/>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35"/>
        <w:gridCol w:w="1515"/>
        <w:gridCol w:w="705"/>
        <w:gridCol w:w="3120"/>
        <w:gridCol w:w="1545"/>
        <w:gridCol w:w="1233"/>
      </w:tblGrid>
      <w:tr w14:paraId="7F6B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eastAsia="zh-CN"/>
              </w:rPr>
            </w:pPr>
            <w:r>
              <w:rPr>
                <w:rFonts w:hint="default" w:ascii="宋体" w:hAnsi="宋体" w:eastAsia="宋体"/>
                <w:b/>
                <w:bCs/>
                <w:color w:val="auto"/>
                <w:kern w:val="0"/>
                <w:sz w:val="24"/>
                <w:szCs w:val="24"/>
                <w:highlight w:val="none"/>
                <w:lang w:val="en-US" w:eastAsia="zh-CN"/>
              </w:rPr>
              <w:t>服务名称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A0DD553">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总价最高限价</w:t>
            </w:r>
          </w:p>
        </w:tc>
      </w:tr>
      <w:tr w14:paraId="044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994EFEB">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color w:val="auto"/>
                <w:lang w:val="en-US" w:eastAsia="zh-CN"/>
              </w:rPr>
            </w:pPr>
            <w:r>
              <w:rPr>
                <w:rFonts w:hint="default" w:ascii="宋体" w:hAnsi="宋体"/>
                <w:b w:val="0"/>
                <w:bCs w:val="0"/>
                <w:color w:val="auto"/>
                <w:kern w:val="0"/>
                <w:sz w:val="24"/>
                <w:szCs w:val="24"/>
                <w:highlight w:val="none"/>
                <w:lang w:val="en-US" w:eastAsia="zh-CN"/>
              </w:rPr>
              <w:t>福州职业技术学院水平衡测试服务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rPr>
              <w:t>收到成交通知书后30</w:t>
            </w:r>
            <w:r>
              <w:rPr>
                <w:rFonts w:hint="eastAsia" w:asciiTheme="minorEastAsia" w:hAnsiTheme="minorEastAsia" w:eastAsiaTheme="minorEastAsia" w:cstheme="minorEastAsia"/>
                <w:b w:val="0"/>
                <w:bCs w:val="0"/>
                <w:color w:val="auto"/>
                <w:kern w:val="0"/>
                <w:sz w:val="24"/>
                <w:szCs w:val="24"/>
                <w:highlight w:val="none"/>
                <w:lang w:val="en-US" w:eastAsia="zh-CN"/>
              </w:rPr>
              <w:t>日</w:t>
            </w:r>
            <w:r>
              <w:rPr>
                <w:rFonts w:hint="eastAsia" w:asciiTheme="minorEastAsia" w:hAnsiTheme="minorEastAsia" w:eastAsiaTheme="minorEastAsia" w:cstheme="minorEastAsia"/>
                <w:b w:val="0"/>
                <w:bCs w:val="0"/>
                <w:color w:val="auto"/>
                <w:kern w:val="0"/>
                <w:sz w:val="24"/>
                <w:szCs w:val="24"/>
                <w:highlight w:val="none"/>
              </w:rPr>
              <w:t>内完成全部测试工作并提交报告初稿</w:t>
            </w:r>
            <w:r>
              <w:rPr>
                <w:rFonts w:hint="eastAsia" w:asciiTheme="minorEastAsia" w:hAnsiTheme="minorEastAsia" w:eastAsiaTheme="minorEastAsia" w:cstheme="minorEastAsia"/>
                <w:b w:val="0"/>
                <w:bCs w:val="0"/>
                <w:color w:val="auto"/>
                <w:kern w:val="0"/>
                <w:sz w:val="24"/>
                <w:szCs w:val="24"/>
                <w:highlight w:val="none"/>
                <w:lang w:eastAsia="zh-CN"/>
              </w:rPr>
              <w:t>，收到</w:t>
            </w:r>
            <w:r>
              <w:rPr>
                <w:rFonts w:hint="eastAsia" w:asciiTheme="minorEastAsia" w:hAnsiTheme="minorEastAsia" w:eastAsiaTheme="minorEastAsia" w:cstheme="minorEastAsia"/>
                <w:b w:val="0"/>
                <w:bCs w:val="0"/>
                <w:color w:val="auto"/>
                <w:kern w:val="0"/>
                <w:sz w:val="24"/>
                <w:szCs w:val="24"/>
                <w:highlight w:val="none"/>
                <w:lang w:val="en-US" w:eastAsia="zh-CN"/>
              </w:rPr>
              <w:t>采购人</w:t>
            </w:r>
            <w:r>
              <w:rPr>
                <w:rFonts w:hint="eastAsia" w:asciiTheme="minorEastAsia" w:hAnsiTheme="minorEastAsia" w:eastAsiaTheme="minorEastAsia" w:cstheme="minorEastAsia"/>
                <w:b w:val="0"/>
                <w:bCs w:val="0"/>
                <w:color w:val="auto"/>
                <w:kern w:val="0"/>
                <w:sz w:val="24"/>
                <w:szCs w:val="24"/>
                <w:highlight w:val="none"/>
                <w:lang w:eastAsia="zh-CN"/>
              </w:rPr>
              <w:t>及主管部门反馈意见后3个工作日内完成报告修改并提交终稿</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192BE4">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50000.00</w:t>
            </w:r>
          </w:p>
        </w:tc>
      </w:tr>
    </w:tbl>
    <w:p w14:paraId="494F6A1F">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、本项目采购包成交候选人数量：1名。</w:t>
      </w:r>
    </w:p>
    <w:p w14:paraId="3E4145C7">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、供应商报价应包含本次项目所涉及到的所有费用，包括但不限于：</w:t>
      </w:r>
      <w:r>
        <w:rPr>
          <w:rFonts w:hint="eastAsia" w:asciiTheme="minorEastAsia" w:hAnsiTheme="minorEastAsia" w:eastAsiaTheme="minorEastAsia" w:cstheme="minorEastAsia"/>
          <w:sz w:val="24"/>
          <w:szCs w:val="24"/>
          <w:lang w:val="en-US" w:eastAsia="zh-CN"/>
        </w:rPr>
        <w:t>项目所需的设备、人工、材料、工具</w:t>
      </w:r>
      <w:r>
        <w:rPr>
          <w:rFonts w:hint="eastAsia" w:ascii="宋体" w:hAnsi="宋体" w:eastAsia="宋体" w:cs="宋体"/>
          <w:b w:val="0"/>
          <w:bCs w:val="0"/>
          <w:color w:val="auto"/>
          <w:kern w:val="0"/>
          <w:sz w:val="24"/>
          <w:szCs w:val="24"/>
          <w:highlight w:val="none"/>
          <w:lang w:val="en-US" w:eastAsia="zh-CN" w:bidi="ar-SA"/>
        </w:rPr>
        <w:t>、税费等。</w:t>
      </w:r>
    </w:p>
    <w:p w14:paraId="78B07A94">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5、本项目内容若与国家标准、规范或行业标准、规范有矛盾，以国家标准、规范或行业标准、规范为准。若本项目相关标准遇国家重新修订，自新标准实行之日起采用新标准执行。</w:t>
      </w:r>
    </w:p>
    <w:p w14:paraId="442EA31C">
      <w:pPr>
        <w:keepNext w:val="0"/>
        <w:keepLines w:val="0"/>
        <w:pageBreakBefore w:val="0"/>
        <w:kinsoku/>
        <w:wordWrap/>
        <w:overflowPunct/>
        <w:topLinePunct w:val="0"/>
        <w:autoSpaceDE/>
        <w:autoSpaceDN/>
        <w:bidi w:val="0"/>
        <w:adjustRightInd/>
        <w:snapToGrid/>
        <w:spacing w:line="384" w:lineRule="exact"/>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r>
        <w:rPr>
          <w:rFonts w:hint="eastAsia" w:asciiTheme="minorEastAsia" w:hAnsiTheme="minorEastAsia" w:eastAsiaTheme="minorEastAsia" w:cstheme="minorEastAsia"/>
          <w:b/>
          <w:color w:val="auto"/>
          <w:sz w:val="24"/>
          <w:szCs w:val="24"/>
          <w:highlight w:val="none"/>
        </w:rPr>
        <w:t>。</w:t>
      </w:r>
    </w:p>
    <w:p w14:paraId="3D8316D2">
      <w:pPr>
        <w:pStyle w:val="20"/>
        <w:keepNext w:val="0"/>
        <w:keepLines w:val="0"/>
        <w:pageBreakBefore w:val="0"/>
        <w:kinsoku/>
        <w:wordWrap/>
        <w:overflowPunct/>
        <w:topLinePunct w:val="0"/>
        <w:autoSpaceDE/>
        <w:autoSpaceDN/>
        <w:bidi w:val="0"/>
        <w:adjustRightInd/>
        <w:snapToGrid/>
        <w:spacing w:after="0" w:line="384"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、测试范围：</w:t>
      </w:r>
    </w:p>
    <w:p w14:paraId="615FFA6A">
      <w:pPr>
        <w:pStyle w:val="20"/>
        <w:keepNext w:val="0"/>
        <w:keepLines w:val="0"/>
        <w:pageBreakBefore w:val="0"/>
        <w:kinsoku/>
        <w:wordWrap/>
        <w:overflowPunct/>
        <w:topLinePunct w:val="0"/>
        <w:autoSpaceDE/>
        <w:autoSpaceDN/>
        <w:bidi w:val="0"/>
        <w:adjustRightInd/>
        <w:snapToGrid/>
        <w:spacing w:after="0" w:line="384"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全部用地范围内的生产、生活、消防等各类用水系统及设施，包括但不限于教学楼、办公楼、宿舍楼、食堂、实训室、绿化灌溉、景观用水等。</w:t>
      </w:r>
    </w:p>
    <w:p w14:paraId="0FC42141">
      <w:pPr>
        <w:pStyle w:val="20"/>
        <w:keepNext w:val="0"/>
        <w:keepLines w:val="0"/>
        <w:pageBreakBefore w:val="0"/>
        <w:kinsoku/>
        <w:wordWrap/>
        <w:overflowPunct/>
        <w:topLinePunct w:val="0"/>
        <w:autoSpaceDE/>
        <w:autoSpaceDN/>
        <w:bidi w:val="0"/>
        <w:adjustRightInd/>
        <w:snapToGrid/>
        <w:spacing w:after="0" w:line="384" w:lineRule="exact"/>
        <w:ind w:firstLine="482" w:firstLineChars="200"/>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2、项目内容：</w:t>
      </w:r>
    </w:p>
    <w:p w14:paraId="6B734760">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2.1前期调研：对供水管网（包含生活用水、通过消防水池补水的地面和屋面消防水箱）、水表等设施设备进行勘察，了解用水现状、用水流程、管网分布等情况，制定详细的水平衡测试方案，方案需经采购人审核通过后方可实施。</w:t>
      </w:r>
    </w:p>
    <w:p w14:paraId="152859E1">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2.2水量监测与数据采集：根据测试方案，合理布设监测点，选用符合国家计量标准的计量器具对各用水区域、用水设施的用水量进行监测（包括瞬时流量、累计流量等），记录与收集相关资料数据，确保数据的准确性、完整性和代表性。</w:t>
      </w:r>
    </w:p>
    <w:p w14:paraId="54B67A15">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2.3数据整理与分析：对采集的水量、水质及相关数据进行整理、审核和校对，去除异常数据，建立水平衡测试数据库。运用专业的分析方法，针对用水环节、用水工艺及用水设备等方面进行合理化分析。</w:t>
      </w:r>
    </w:p>
    <w:p w14:paraId="66759818">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2.4水平衡图绘制：根据测试数据和分析结果，绘制采购人学校整体及各主要用水区域、用水设施的水平衡图，清晰展示水量的收支平衡关系。</w:t>
      </w:r>
    </w:p>
    <w:p w14:paraId="0516D996">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2.5节水潜力分析与建议：结合采购人用水现状和分析结果，识别节水潜力点，计算潜在的节水量和节水效益。针对存在的用水问题，提出切实可行的节水改造建议和水资源优化管理措施。</w:t>
      </w:r>
    </w:p>
    <w:p w14:paraId="0DBA852A">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2.6报告编制与提交：按照国家及地方相关标准规范（如《水平衡测试通则》GB/T 12452-2022、《节水型社会评价指标体系和评价方法》GB/T 28284-2012等）和采购人要求，编制完整的水平衡测试报告，报告内容应包括项目概况、测试方案、监测数据、数据分析、水平衡图、节水潜力分析、节水建议、结论等，报告需经采购人及相关主管部门（如有）审核通过。</w:t>
      </w:r>
    </w:p>
    <w:p w14:paraId="427F04D9">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2" w:firstLineChars="200"/>
        <w:jc w:val="left"/>
        <w:textAlignment w:val="baseline"/>
        <w:rPr>
          <w:rFonts w:hint="default"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3、服务要求：</w:t>
      </w:r>
    </w:p>
    <w:p w14:paraId="35A3F4A1">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3.1水平衡测试工作需符合《水平衡测试通则》GB/T 12452-2022的标准；计量器具需符合国家计量标准。</w:t>
      </w:r>
    </w:p>
    <w:p w14:paraId="7F6E8D1E">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3.2水平衡测试工作需执行《用水单位水计量器具配备和管理通则》（GB/T 24789-2022）、《节水型企业（单位）目标导则》（建成﹝1997﹞45号）、《节水型企业评价导则》（GB/T 7119）等相关标准和规范。</w:t>
      </w:r>
    </w:p>
    <w:p w14:paraId="771E230E">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3.2.1提供供水管网分布及走向、管道材质、管径等数据。</w:t>
      </w:r>
    </w:p>
    <w:p w14:paraId="5D8D40E7">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3.2.2提供用水设施设备、器具及用水计量器具的型号、规格、数量、具体位置等数据。</w:t>
      </w:r>
    </w:p>
    <w:p w14:paraId="04374B4B">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3.2.3检查计量器具配备齐全程度与完好程度，标明应补装计量器具的位置，提出计量器具加装整改方案，协助单位完善计量装置。</w:t>
      </w:r>
    </w:p>
    <w:p w14:paraId="504B30C1">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3.3绘制“给排水管网总平图”“供水示意图”“水表计量网络图”“水平衡图”。</w:t>
      </w:r>
    </w:p>
    <w:p w14:paraId="53141DF5">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3.4依据《水平衡测试通则》GB/T 12452-2022及现场调查情况，提出符合水平衡测试要求的改造建议方案。</w:t>
      </w:r>
    </w:p>
    <w:p w14:paraId="48962788">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3.5按测试方案进行现场测试，采集水量数据，填写水量明细表绘制“水量平衡图”。</w:t>
      </w:r>
    </w:p>
    <w:p w14:paraId="3D0C96C9">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3.6汇总计算各水量参数并进行用水合理化分析，提出用水、节水的管理措施及整改建议。若排查发现现场管网存在异常用水或漏水情况，提出相应处理方案。</w:t>
      </w:r>
    </w:p>
    <w:p w14:paraId="689FDD52">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3.7根据闽侯县住房和城乡建设局《关于开展2025年水平衡测试工作的通知》要求，在规定时间内协助采购人按时提交《水平衡测试报告书》，并通过相关审核。</w:t>
      </w:r>
    </w:p>
    <w:p w14:paraId="7A37876F">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2" w:firstLineChars="200"/>
        <w:jc w:val="left"/>
        <w:textAlignment w:val="baseline"/>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4、交付成果：</w:t>
      </w:r>
    </w:p>
    <w:p w14:paraId="4EBF67C4">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4.1纸质版《福州职业技术学院水平衡测试报告》3份，需加盖供应商公章及项目负责人签字。</w:t>
      </w:r>
    </w:p>
    <w:p w14:paraId="4F3577C0">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4.2电子版《福州职业技术学院水平衡测试报告》1份（PDF格式及Word格式）。</w:t>
      </w:r>
    </w:p>
    <w:p w14:paraId="16FAE1F0">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4.3测试过程中形成的原始监测数据、调查记录、测绘图纸、分析图表等相关支撑材料电子版1套。</w:t>
      </w:r>
    </w:p>
    <w:p w14:paraId="37EDDA1C">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2" w:firstLineChars="200"/>
        <w:jc w:val="left"/>
        <w:textAlignment w:val="baseline"/>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5、其他要求：</w:t>
      </w:r>
    </w:p>
    <w:p w14:paraId="1F53E10C">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bCs/>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5.1供应商需提供至少2份近3年（自2022年1月1日起至报名截止时间止）承接过类似高等学校或大型企事业单位水平衡测试项目的业绩证明。</w:t>
      </w:r>
      <w:r>
        <w:rPr>
          <w:rFonts w:hint="eastAsia" w:ascii="宋体" w:hAnsi="宋体" w:cs="宋体"/>
          <w:b/>
          <w:bCs/>
          <w:color w:val="auto"/>
          <w:kern w:val="0"/>
          <w:sz w:val="24"/>
          <w:szCs w:val="24"/>
          <w:highlight w:val="none"/>
          <w:lang w:val="en-US" w:eastAsia="zh-CN" w:bidi="ar-SA"/>
        </w:rPr>
        <w:t>（需提供合同关键页复印件，需体现服务内容、金额、双方签字盖章等）</w:t>
      </w:r>
    </w:p>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三、商务要求</w:t>
      </w:r>
      <w:r>
        <w:rPr>
          <w:rFonts w:hint="eastAsia" w:asciiTheme="minorEastAsia" w:hAnsiTheme="minorEastAsia" w:eastAsiaTheme="minorEastAsia" w:cstheme="minorEastAsia"/>
          <w:b/>
          <w:color w:val="auto"/>
          <w:sz w:val="24"/>
          <w:szCs w:val="24"/>
          <w:highlight w:val="none"/>
        </w:rPr>
        <w:t>（下述所有要求均为不允许偏离的实质性要求，若负偏离则按无效报价处理。）</w:t>
      </w:r>
    </w:p>
    <w:p w14:paraId="455E0420">
      <w:pPr>
        <w:pStyle w:val="7"/>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交付</w:t>
      </w:r>
      <w:r>
        <w:rPr>
          <w:rFonts w:hint="eastAsia" w:asciiTheme="minorEastAsia" w:hAnsiTheme="minorEastAsia" w:eastAsiaTheme="minorEastAsia" w:cstheme="minorEastAsia"/>
          <w:b/>
          <w:bCs/>
          <w:color w:val="auto"/>
          <w:kern w:val="0"/>
          <w:sz w:val="24"/>
          <w:szCs w:val="24"/>
          <w:highlight w:val="none"/>
        </w:rPr>
        <w:t>地点：</w:t>
      </w:r>
      <w:r>
        <w:rPr>
          <w:rFonts w:hint="eastAsia" w:asciiTheme="minorEastAsia" w:hAnsiTheme="minorEastAsia" w:eastAsiaTheme="minorEastAsia" w:cstheme="minorEastAsia"/>
          <w:b w:val="0"/>
          <w:bCs w:val="0"/>
          <w:color w:val="auto"/>
          <w:kern w:val="0"/>
          <w:sz w:val="24"/>
          <w:szCs w:val="24"/>
          <w:highlight w:val="none"/>
        </w:rPr>
        <w:t>福州市闽侯县上街镇联榕路8号福州职业技术学院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采购人指定地点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w:t>
      </w:r>
    </w:p>
    <w:p w14:paraId="6AF46AF8">
      <w:pPr>
        <w:pStyle w:val="7"/>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rPr>
        <w:t>2</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服务期限</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rPr>
        <w:t>收到成交通知书后30</w:t>
      </w:r>
      <w:r>
        <w:rPr>
          <w:rFonts w:hint="eastAsia" w:asciiTheme="minorEastAsia" w:hAnsiTheme="minorEastAsia" w:eastAsiaTheme="minorEastAsia" w:cstheme="minorEastAsia"/>
          <w:b w:val="0"/>
          <w:bCs w:val="0"/>
          <w:color w:val="auto"/>
          <w:kern w:val="0"/>
          <w:sz w:val="24"/>
          <w:szCs w:val="24"/>
          <w:highlight w:val="none"/>
          <w:lang w:val="en-US" w:eastAsia="zh-CN"/>
        </w:rPr>
        <w:t>日</w:t>
      </w:r>
      <w:r>
        <w:rPr>
          <w:rFonts w:hint="eastAsia" w:asciiTheme="minorEastAsia" w:hAnsiTheme="minorEastAsia" w:eastAsiaTheme="minorEastAsia" w:cstheme="minorEastAsia"/>
          <w:b w:val="0"/>
          <w:bCs w:val="0"/>
          <w:color w:val="auto"/>
          <w:kern w:val="0"/>
          <w:sz w:val="24"/>
          <w:szCs w:val="24"/>
          <w:highlight w:val="none"/>
        </w:rPr>
        <w:t>内完成全部测试工作并提交报告初稿</w:t>
      </w:r>
      <w:r>
        <w:rPr>
          <w:rFonts w:hint="eastAsia" w:asciiTheme="minorEastAsia" w:hAnsiTheme="minorEastAsia" w:eastAsiaTheme="minorEastAsia" w:cstheme="minorEastAsia"/>
          <w:b w:val="0"/>
          <w:bCs w:val="0"/>
          <w:color w:val="auto"/>
          <w:kern w:val="0"/>
          <w:sz w:val="24"/>
          <w:szCs w:val="24"/>
          <w:highlight w:val="none"/>
          <w:lang w:eastAsia="zh-CN"/>
        </w:rPr>
        <w:t>，收到</w:t>
      </w:r>
      <w:r>
        <w:rPr>
          <w:rFonts w:hint="eastAsia" w:asciiTheme="minorEastAsia" w:hAnsiTheme="minorEastAsia" w:eastAsiaTheme="minorEastAsia" w:cstheme="minorEastAsia"/>
          <w:b w:val="0"/>
          <w:bCs w:val="0"/>
          <w:color w:val="auto"/>
          <w:kern w:val="0"/>
          <w:sz w:val="24"/>
          <w:szCs w:val="24"/>
          <w:highlight w:val="none"/>
          <w:lang w:val="en-US" w:eastAsia="zh-CN"/>
        </w:rPr>
        <w:t>采购人</w:t>
      </w:r>
      <w:r>
        <w:rPr>
          <w:rFonts w:hint="eastAsia" w:asciiTheme="minorEastAsia" w:hAnsiTheme="minorEastAsia" w:eastAsiaTheme="minorEastAsia" w:cstheme="minorEastAsia"/>
          <w:b w:val="0"/>
          <w:bCs w:val="0"/>
          <w:color w:val="auto"/>
          <w:kern w:val="0"/>
          <w:sz w:val="24"/>
          <w:szCs w:val="24"/>
          <w:highlight w:val="none"/>
          <w:lang w:eastAsia="zh-CN"/>
        </w:rPr>
        <w:t>及主管部门反馈意见后3个工作日内完成报告修改并提交终稿。</w:t>
      </w:r>
    </w:p>
    <w:p w14:paraId="0F21BAE8">
      <w:pPr>
        <w:pStyle w:val="4"/>
        <w:keepNext w:val="0"/>
        <w:keepLines w:val="0"/>
        <w:pageBreakBefore w:val="0"/>
        <w:kinsoku/>
        <w:wordWrap/>
        <w:overflowPunct/>
        <w:topLinePunct w:val="0"/>
        <w:autoSpaceDE/>
        <w:autoSpaceDN/>
        <w:bidi w:val="0"/>
        <w:adjustRightInd/>
        <w:snapToGrid/>
        <w:spacing w:before="0" w:beforeAutospacing="0" w:afterAutospacing="0" w:line="400" w:lineRule="exact"/>
        <w:ind w:firstLine="482"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3</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交付条件：</w:t>
      </w:r>
      <w:r>
        <w:rPr>
          <w:rFonts w:hint="eastAsia" w:asciiTheme="minorEastAsia" w:hAnsiTheme="minorEastAsia" w:eastAsiaTheme="minorEastAsia" w:cstheme="minorEastAsia"/>
          <w:b w:val="0"/>
          <w:bCs w:val="0"/>
          <w:color w:val="auto"/>
          <w:kern w:val="0"/>
          <w:sz w:val="24"/>
          <w:szCs w:val="24"/>
          <w:highlight w:val="none"/>
          <w:lang w:val="en-US" w:eastAsia="zh-CN"/>
        </w:rPr>
        <w:t>经采购人</w:t>
      </w:r>
      <w:r>
        <w:rPr>
          <w:rFonts w:hint="eastAsia" w:asciiTheme="minorEastAsia" w:hAnsiTheme="minorEastAsia" w:eastAsiaTheme="minorEastAsia" w:cstheme="minorEastAsia"/>
          <w:b w:val="0"/>
          <w:bCs w:val="0"/>
          <w:color w:val="auto"/>
          <w:kern w:val="0"/>
          <w:sz w:val="24"/>
          <w:szCs w:val="24"/>
          <w:highlight w:val="none"/>
        </w:rPr>
        <w:t>验收合格</w:t>
      </w:r>
      <w:r>
        <w:rPr>
          <w:rFonts w:hint="eastAsia" w:asciiTheme="minorEastAsia" w:hAnsiTheme="minorEastAsia" w:eastAsiaTheme="minorEastAsia" w:cstheme="minorEastAsia"/>
          <w:b w:val="0"/>
          <w:bCs/>
          <w:color w:val="auto"/>
          <w:sz w:val="24"/>
          <w:szCs w:val="24"/>
          <w:highlight w:val="none"/>
        </w:rPr>
        <w:t>。</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4、是否邀请供应商验收：</w:t>
      </w:r>
      <w:r>
        <w:rPr>
          <w:rFonts w:hint="eastAsia" w:asciiTheme="minorEastAsia" w:hAnsiTheme="minorEastAsia" w:eastAsiaTheme="minorEastAsia" w:cstheme="minorEastAsia"/>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验收方式</w:t>
      </w:r>
      <w:r>
        <w:rPr>
          <w:rFonts w:hint="eastAsia" w:asciiTheme="minorEastAsia" w:hAnsiTheme="minorEastAsia" w:eastAsiaTheme="minorEastAsia" w:cstheme="minorEastAsia"/>
          <w:b/>
          <w:bCs/>
          <w:color w:val="auto"/>
          <w:kern w:val="0"/>
          <w:sz w:val="24"/>
          <w:szCs w:val="24"/>
          <w:highlight w:val="none"/>
          <w:lang w:val="en-US" w:eastAsia="zh-CN" w:bidi="ar-SA"/>
        </w:rPr>
        <w:t>：</w:t>
      </w:r>
      <w:r>
        <w:rPr>
          <w:rFonts w:hint="eastAsia" w:asciiTheme="minorEastAsia" w:hAnsiTheme="minorEastAsia" w:eastAsiaTheme="minorEastAsia" w:cstheme="minorEastAsia"/>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7412BC6D">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支付方式：</w:t>
      </w:r>
      <w:r>
        <w:rPr>
          <w:rFonts w:hint="eastAsia" w:asciiTheme="minorEastAsia" w:hAnsiTheme="minorEastAsia" w:eastAsiaTheme="minorEastAsia" w:cstheme="minorEastAsia"/>
          <w:b w:val="0"/>
          <w:bCs w:val="0"/>
          <w:color w:val="auto"/>
          <w:sz w:val="24"/>
          <w:szCs w:val="24"/>
          <w:highlight w:val="none"/>
          <w:lang w:val="en-US" w:eastAsia="zh-CN"/>
        </w:rPr>
        <w:t>全部服务完成，并经验收合格后，</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rPr>
        <w:t>个工作日内</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凭</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rPr>
        <w:t>验收合格文件等材料以转账方式向</w:t>
      </w:r>
      <w:r>
        <w:rPr>
          <w:rFonts w:hint="eastAsia" w:asciiTheme="minorEastAsia" w:hAnsiTheme="minorEastAsia" w:eastAsiaTheme="minorEastAsia" w:cstheme="minorEastAsia"/>
          <w:b w:val="0"/>
          <w:bCs w:val="0"/>
          <w:color w:val="auto"/>
          <w:sz w:val="24"/>
          <w:szCs w:val="24"/>
          <w:highlight w:val="none"/>
          <w:lang w:val="en-US" w:eastAsia="zh-CN"/>
        </w:rPr>
        <w:t>成交</w:t>
      </w:r>
      <w:r>
        <w:rPr>
          <w:rFonts w:hint="eastAsia" w:asciiTheme="minorEastAsia" w:hAnsiTheme="minorEastAsia" w:eastAsiaTheme="minorEastAsia" w:cstheme="minorEastAsia"/>
          <w:b w:val="0"/>
          <w:bCs w:val="0"/>
          <w:color w:val="auto"/>
          <w:sz w:val="24"/>
          <w:szCs w:val="24"/>
          <w:highlight w:val="none"/>
        </w:rPr>
        <w:t>供应商一次性支付</w:t>
      </w:r>
      <w:r>
        <w:rPr>
          <w:rFonts w:hint="eastAsia" w:asciiTheme="minorEastAsia" w:hAnsiTheme="minorEastAsia" w:eastAsiaTheme="minorEastAsia" w:cstheme="minorEastAsia"/>
          <w:b w:val="0"/>
          <w:bCs w:val="0"/>
          <w:color w:val="auto"/>
          <w:sz w:val="24"/>
          <w:szCs w:val="24"/>
          <w:highlight w:val="none"/>
          <w:lang w:val="en-US" w:eastAsia="zh-CN"/>
        </w:rPr>
        <w:t>合同价款的</w:t>
      </w:r>
      <w:r>
        <w:rPr>
          <w:rFonts w:hint="eastAsia" w:asciiTheme="minorEastAsia" w:hAnsiTheme="minorEastAsia" w:eastAsiaTheme="minorEastAsia" w:cstheme="minorEastAsia"/>
          <w:b w:val="0"/>
          <w:bCs w:val="0"/>
          <w:color w:val="auto"/>
          <w:sz w:val="24"/>
          <w:szCs w:val="24"/>
          <w:highlight w:val="none"/>
        </w:rPr>
        <w:t>100%。</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7、履约保证金：</w:t>
      </w:r>
      <w:bookmarkEnd w:id="3"/>
      <w:bookmarkEnd w:id="4"/>
      <w:bookmarkEnd w:id="5"/>
      <w:bookmarkEnd w:id="6"/>
      <w:r>
        <w:rPr>
          <w:rFonts w:hint="eastAsia" w:asciiTheme="minorEastAsia" w:hAnsiTheme="minorEastAsia" w:eastAsiaTheme="minorEastAsia" w:cstheme="minorEastAsia"/>
          <w:b w:val="0"/>
          <w:bCs w:val="0"/>
          <w:color w:val="auto"/>
          <w:kern w:val="0"/>
          <w:sz w:val="24"/>
          <w:szCs w:val="24"/>
          <w:highlight w:val="none"/>
          <w:lang w:val="en-US" w:eastAsia="zh-CN" w:bidi="ar-SA"/>
        </w:rPr>
        <w:t>不缴纳。</w:t>
      </w:r>
    </w:p>
    <w:p w14:paraId="7BA91A8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8、验收要求：</w:t>
      </w:r>
    </w:p>
    <w:p w14:paraId="16F285CE">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8.1</w:t>
      </w:r>
      <w:r>
        <w:rPr>
          <w:rFonts w:hint="eastAsia" w:asciiTheme="minorEastAsia" w:hAnsiTheme="minorEastAsia" w:eastAsiaTheme="minorEastAsia" w:cstheme="minorEastAsia"/>
          <w:sz w:val="24"/>
          <w:szCs w:val="24"/>
          <w:lang w:eastAsia="zh-CN"/>
        </w:rPr>
        <w:t>测试报告需经过内部三级审核（编制人、审核人、批准人），并由项目负责人签字确认，确保报告质量。</w:t>
      </w:r>
    </w:p>
    <w:p w14:paraId="4A6C68DC">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8.2</w:t>
      </w:r>
      <w:r>
        <w:rPr>
          <w:rFonts w:hint="eastAsia" w:asciiTheme="minorEastAsia" w:hAnsiTheme="minorEastAsia" w:eastAsiaTheme="minorEastAsia" w:cstheme="minorEastAsia"/>
          <w:sz w:val="24"/>
          <w:szCs w:val="24"/>
          <w:lang w:eastAsia="zh-CN"/>
        </w:rPr>
        <w:t>成交供应商按照网上竞价文件及</w:t>
      </w:r>
      <w:r>
        <w:rPr>
          <w:rFonts w:hint="eastAsia" w:asciiTheme="minorEastAsia" w:hAnsiTheme="minorEastAsia" w:eastAsiaTheme="minorEastAsia" w:cstheme="minorEastAsia"/>
          <w:sz w:val="24"/>
          <w:szCs w:val="24"/>
          <w:lang w:val="en-US" w:eastAsia="zh-CN"/>
        </w:rPr>
        <w:t>响应文件要求</w:t>
      </w:r>
      <w:r>
        <w:rPr>
          <w:rFonts w:hint="eastAsia" w:asciiTheme="minorEastAsia" w:hAnsiTheme="minorEastAsia" w:eastAsiaTheme="minorEastAsia" w:cstheme="minorEastAsia"/>
          <w:sz w:val="24"/>
          <w:szCs w:val="24"/>
          <w:lang w:eastAsia="zh-CN"/>
        </w:rPr>
        <w:t>完成相应服务内容，在采购人的《水平衡测试报告书》通过闽侯县住房和城乡建设局审核</w:t>
      </w:r>
      <w:r>
        <w:rPr>
          <w:rFonts w:hint="eastAsia" w:asciiTheme="minorEastAsia" w:hAnsiTheme="minorEastAsia" w:eastAsiaTheme="minorEastAsia" w:cstheme="minorEastAsia"/>
          <w:sz w:val="24"/>
          <w:szCs w:val="24"/>
          <w:highlight w:val="none"/>
          <w:lang w:eastAsia="zh-CN"/>
        </w:rPr>
        <w:t>后，</w:t>
      </w:r>
      <w:r>
        <w:rPr>
          <w:rFonts w:hint="eastAsia" w:asciiTheme="minorEastAsia" w:hAnsiTheme="minorEastAsia" w:eastAsiaTheme="minorEastAsia" w:cstheme="minorEastAsia"/>
          <w:sz w:val="24"/>
          <w:szCs w:val="24"/>
          <w:highlight w:val="none"/>
          <w:lang w:val="en-US" w:eastAsia="zh-CN"/>
        </w:rPr>
        <w:t>采购人收到成交供应商提出</w:t>
      </w:r>
      <w:r>
        <w:rPr>
          <w:rFonts w:hint="eastAsia" w:asciiTheme="minorEastAsia" w:hAnsiTheme="minorEastAsia" w:eastAsiaTheme="minorEastAsia" w:cstheme="minorEastAsia"/>
          <w:sz w:val="24"/>
          <w:szCs w:val="24"/>
          <w:highlight w:val="none"/>
          <w:lang w:eastAsia="zh-CN"/>
        </w:rPr>
        <w:t>的验收申请后5个工作日内，对成交供应商履约情况进行验收。验收结果经</w:t>
      </w:r>
      <w:r>
        <w:rPr>
          <w:rFonts w:hint="eastAsia" w:asciiTheme="minorEastAsia" w:hAnsiTheme="minorEastAsia" w:eastAsiaTheme="minorEastAsia" w:cstheme="minorEastAsia"/>
          <w:sz w:val="24"/>
          <w:szCs w:val="24"/>
          <w:lang w:eastAsia="zh-CN"/>
        </w:rPr>
        <w:t>双方确认后，双方代表必须按规定的验收单上的项目填好验收结果并签名盖章。</w:t>
      </w:r>
    </w:p>
    <w:p w14:paraId="3765C680">
      <w:pPr>
        <w:pStyle w:val="4"/>
        <w:keepNext w:val="0"/>
        <w:keepLines w:val="0"/>
        <w:pageBreakBefore w:val="0"/>
        <w:kinsoku/>
        <w:wordWrap/>
        <w:overflowPunct/>
        <w:topLinePunct w:val="0"/>
        <w:autoSpaceDE/>
        <w:autoSpaceDN/>
        <w:bidi w:val="0"/>
        <w:adjustRightInd/>
        <w:snapToGrid/>
        <w:spacing w:before="0" w:beforeAutospacing="0" w:afterAutospacing="0" w:line="400" w:lineRule="exact"/>
        <w:ind w:firstLine="482" w:firstLineChars="200"/>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9、知识产权：</w:t>
      </w:r>
    </w:p>
    <w:p w14:paraId="581C47F0">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9.1</w:t>
      </w:r>
      <w:r>
        <w:rPr>
          <w:rFonts w:hint="eastAsia" w:asciiTheme="minorEastAsia" w:hAnsiTheme="minorEastAsia" w:eastAsiaTheme="minorEastAsia" w:cstheme="minorEastAsia"/>
          <w:sz w:val="24"/>
          <w:szCs w:val="24"/>
          <w:lang w:eastAsia="zh-CN"/>
        </w:rPr>
        <w:t>成交供应商须保障采购人在使用该服务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2916FBF3">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9.2</w:t>
      </w:r>
      <w:r>
        <w:rPr>
          <w:rFonts w:hint="eastAsia" w:asciiTheme="minorEastAsia" w:hAnsiTheme="minorEastAsia" w:eastAsiaTheme="minorEastAsia" w:cstheme="minorEastAsia"/>
          <w:sz w:val="24"/>
          <w:szCs w:val="24"/>
          <w:lang w:eastAsia="zh-CN"/>
        </w:rPr>
        <w:t>成交供应商为执行本项目而提供的技术资料，采购人有权进行使用，成交供应商不得主张任何费用。</w:t>
      </w:r>
    </w:p>
    <w:p w14:paraId="6E11B907">
      <w:pPr>
        <w:pStyle w:val="4"/>
        <w:keepNext w:val="0"/>
        <w:keepLines w:val="0"/>
        <w:pageBreakBefore w:val="0"/>
        <w:numPr>
          <w:ilvl w:val="0"/>
          <w:numId w:val="0"/>
        </w:numPr>
        <w:kinsoku/>
        <w:wordWrap/>
        <w:overflowPunct/>
        <w:topLinePunct w:val="0"/>
        <w:autoSpaceDE/>
        <w:autoSpaceDN/>
        <w:bidi w:val="0"/>
        <w:adjustRightInd/>
        <w:snapToGrid/>
        <w:spacing w:before="0" w:beforeAutospacing="0" w:afterAutospacing="0" w:line="400" w:lineRule="exact"/>
        <w:ind w:firstLine="482" w:firstLineChars="200"/>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10、保密条款：</w:t>
      </w:r>
    </w:p>
    <w:p w14:paraId="53262FB1">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10.1</w:t>
      </w:r>
      <w:r>
        <w:rPr>
          <w:rFonts w:hint="eastAsia" w:asciiTheme="minorEastAsia" w:hAnsiTheme="minorEastAsia" w:eastAsiaTheme="minorEastAsia" w:cstheme="minorEastAsia"/>
          <w:sz w:val="24"/>
          <w:szCs w:val="24"/>
          <w:lang w:eastAsia="zh-CN"/>
        </w:rPr>
        <w:t>未经采购人事先书面同意，成交供应商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14:paraId="5E777897">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10.2</w:t>
      </w:r>
      <w:r>
        <w:rPr>
          <w:rFonts w:hint="eastAsia" w:asciiTheme="minorEastAsia" w:hAnsiTheme="minorEastAsia" w:eastAsiaTheme="minorEastAsia" w:cstheme="minorEastAsia"/>
          <w:sz w:val="24"/>
          <w:szCs w:val="24"/>
          <w:lang w:eastAsia="zh-CN"/>
        </w:rPr>
        <w:t>除了项目本身之外，上款所列举的任何物件均是采购人的财产。如果采购人有要求，成交供应商在收到采购人的要求后10日内应将这些物件及全部复制件还给采购人，不得留存任何备份。</w:t>
      </w:r>
    </w:p>
    <w:p w14:paraId="7795F157">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10.3</w:t>
      </w:r>
      <w:r>
        <w:rPr>
          <w:rFonts w:hint="eastAsia" w:asciiTheme="minorEastAsia" w:hAnsiTheme="minorEastAsia" w:eastAsiaTheme="minorEastAsia" w:cstheme="minorEastAsia"/>
          <w:sz w:val="24"/>
          <w:szCs w:val="24"/>
          <w:lang w:eastAsia="zh-CN"/>
        </w:rPr>
        <w:t>成交供应商违反本保密条款的，应支付</w:t>
      </w:r>
      <w:r>
        <w:rPr>
          <w:rFonts w:hint="eastAsia" w:asciiTheme="minorEastAsia" w:hAnsiTheme="minorEastAsia" w:eastAsiaTheme="minorEastAsia" w:cstheme="minorEastAsia"/>
          <w:sz w:val="24"/>
          <w:szCs w:val="24"/>
          <w:highlight w:val="none"/>
          <w:lang w:val="en-US" w:eastAsia="zh-CN"/>
        </w:rPr>
        <w:t>合同</w:t>
      </w:r>
      <w:r>
        <w:rPr>
          <w:rFonts w:hint="eastAsia" w:asciiTheme="minorEastAsia" w:hAnsiTheme="minorEastAsia" w:eastAsiaTheme="minorEastAsia" w:cstheme="minorEastAsia"/>
          <w:sz w:val="24"/>
          <w:szCs w:val="24"/>
          <w:lang w:eastAsia="zh-CN"/>
        </w:rPr>
        <w:t>总金额100%的违约金，并赔偿由此给采购人造成的任何损失，承担相应的法律责任。本条款在本项目履行期间至履行结束后均有效。</w:t>
      </w:r>
    </w:p>
    <w:p w14:paraId="04C247C2">
      <w:pPr>
        <w:pageBreakBefore w:val="0"/>
        <w:tabs>
          <w:tab w:val="left" w:pos="900"/>
          <w:tab w:val="left" w:pos="1100"/>
        </w:tabs>
        <w:kinsoku/>
        <w:wordWrap/>
        <w:overflowPunct/>
        <w:topLinePunct w:val="0"/>
        <w:autoSpaceDE/>
        <w:autoSpaceDN/>
        <w:bidi w:val="0"/>
        <w:snapToGrid/>
        <w:spacing w:line="400" w:lineRule="exact"/>
        <w:ind w:firstLine="472" w:firstLineChars="196"/>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11、违约责任</w:t>
      </w:r>
      <w:r>
        <w:rPr>
          <w:rFonts w:hint="eastAsia" w:asciiTheme="minorEastAsia" w:hAnsiTheme="minorEastAsia" w:eastAsiaTheme="minorEastAsia" w:cstheme="minorEastAsia"/>
          <w:b/>
          <w:sz w:val="24"/>
          <w:szCs w:val="24"/>
        </w:rPr>
        <w:t>：</w:t>
      </w:r>
    </w:p>
    <w:p w14:paraId="622541F7">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w:t>
      </w:r>
      <w:r>
        <w:rPr>
          <w:rFonts w:hint="eastAsia" w:asciiTheme="minorEastAsia" w:hAnsiTheme="minorEastAsia" w:eastAsiaTheme="minorEastAsia" w:cstheme="minorEastAsia"/>
          <w:sz w:val="24"/>
          <w:szCs w:val="24"/>
          <w:lang w:eastAsia="zh-CN"/>
        </w:rPr>
        <w:t>采购人违约责任：</w:t>
      </w:r>
    </w:p>
    <w:p w14:paraId="31E996E8">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11.1.1</w:t>
      </w:r>
      <w:r>
        <w:rPr>
          <w:rFonts w:hint="eastAsia" w:asciiTheme="minorEastAsia" w:hAnsiTheme="minorEastAsia" w:eastAsiaTheme="minorEastAsia" w:cstheme="minorEastAsia"/>
          <w:sz w:val="24"/>
          <w:szCs w:val="24"/>
          <w:lang w:eastAsia="zh-CN"/>
        </w:rPr>
        <w:t>采购人无正当理由拒绝成交供应商提供合格服务的，采购人应向成交供应商偿付所拒收合同总价10%的违约金。</w:t>
      </w:r>
    </w:p>
    <w:p w14:paraId="19029CC9">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11.1.2</w:t>
      </w:r>
      <w:r>
        <w:rPr>
          <w:rFonts w:hint="eastAsia" w:asciiTheme="minorEastAsia" w:hAnsiTheme="minorEastAsia" w:eastAsiaTheme="minorEastAsia" w:cstheme="minorEastAsia"/>
          <w:sz w:val="24"/>
          <w:szCs w:val="24"/>
          <w:lang w:eastAsia="zh-CN"/>
        </w:rPr>
        <w:t>采购人无故逾期验收和办理合同款项支付手续的,采购人应按逾期付款总额每日0.5%向成交供应商支付违约金。</w:t>
      </w:r>
    </w:p>
    <w:p w14:paraId="3E0C4796">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11.1.3</w:t>
      </w:r>
      <w:r>
        <w:rPr>
          <w:rFonts w:hint="eastAsia" w:asciiTheme="minorEastAsia" w:hAnsiTheme="minorEastAsia" w:eastAsiaTheme="minorEastAsia" w:cstheme="minorEastAsia"/>
          <w:sz w:val="24"/>
          <w:szCs w:val="24"/>
          <w:lang w:eastAsia="zh-CN"/>
        </w:rPr>
        <w:t>其他违约情形：采购人没有按时履行支付义务，除向成交供应商补交余款外，应每日按照逾期支付金额的0.5%的标准向成交供应商支付违约金。违约金最高不超过合同总金额的10%。</w:t>
      </w:r>
    </w:p>
    <w:p w14:paraId="1BBD343B">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w:t>
      </w:r>
      <w:r>
        <w:rPr>
          <w:rFonts w:hint="eastAsia" w:asciiTheme="minorEastAsia" w:hAnsiTheme="minorEastAsia" w:eastAsiaTheme="minorEastAsia" w:cstheme="minorEastAsia"/>
          <w:sz w:val="24"/>
          <w:szCs w:val="24"/>
          <w:lang w:eastAsia="zh-CN"/>
        </w:rPr>
        <w:t>成交供应商违约责任：</w:t>
      </w:r>
    </w:p>
    <w:p w14:paraId="4F61DEE4">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11.2.1</w:t>
      </w:r>
      <w:r>
        <w:rPr>
          <w:rFonts w:hint="eastAsia" w:asciiTheme="minorEastAsia" w:hAnsiTheme="minorEastAsia" w:eastAsiaTheme="minorEastAsia" w:cstheme="minorEastAsia"/>
          <w:sz w:val="24"/>
          <w:szCs w:val="24"/>
          <w:lang w:eastAsia="zh-CN"/>
        </w:rPr>
        <w:t>成交供应商逾期履行服务的，成交供应商应按逾期交付总额每日0.5%向采购人支付违约金。成交供应商无正当理由逾期超过约定日期15</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lang w:eastAsia="zh-CN"/>
        </w:rPr>
        <w:t>仍不能交付的，视为“成交供应商不按约定履约”。</w:t>
      </w:r>
    </w:p>
    <w:p w14:paraId="53C54429">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11.2.2</w:t>
      </w:r>
      <w:r>
        <w:rPr>
          <w:rFonts w:hint="eastAsia" w:asciiTheme="minorEastAsia" w:hAnsiTheme="minorEastAsia" w:eastAsiaTheme="minorEastAsia" w:cstheme="minorEastAsia"/>
          <w:sz w:val="24"/>
          <w:szCs w:val="24"/>
          <w:lang w:eastAsia="zh-CN"/>
        </w:rPr>
        <w:t>成交供应商所履行的服务不符合网上竞价文件规定的，采购人有权拒绝，成交供应商愿意整改但逾期履行的，按成交供应商逾期履行处理。成交供应商拒绝整改的，视为“成交供应商不按约定履约”。</w:t>
      </w:r>
    </w:p>
    <w:p w14:paraId="53AE0EAD">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11.2.3</w:t>
      </w:r>
      <w:r>
        <w:rPr>
          <w:rFonts w:hint="eastAsia" w:asciiTheme="minorEastAsia" w:hAnsiTheme="minorEastAsia" w:eastAsiaTheme="minorEastAsia" w:cstheme="minorEastAsia"/>
          <w:sz w:val="24"/>
          <w:szCs w:val="24"/>
          <w:lang w:eastAsia="zh-CN"/>
        </w:rPr>
        <w:t>成交供应商不按约定履约的，采购人不支付任何费用，同时成交供应商还需要向采购人支付中标金额50%的违约金。</w:t>
      </w:r>
    </w:p>
    <w:p w14:paraId="6EF25B10">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11.2.4</w:t>
      </w:r>
      <w:r>
        <w:rPr>
          <w:rFonts w:hint="eastAsia" w:asciiTheme="minorEastAsia" w:hAnsiTheme="minorEastAsia" w:eastAsiaTheme="minorEastAsia" w:cstheme="minorEastAsia"/>
          <w:sz w:val="24"/>
          <w:szCs w:val="24"/>
          <w:lang w:eastAsia="zh-CN"/>
        </w:rPr>
        <w:t>交付时间逾期期限一旦达到</w:t>
      </w:r>
      <w:r>
        <w:rPr>
          <w:rFonts w:hint="eastAsia" w:asciiTheme="minorEastAsia" w:hAnsiTheme="minorEastAsia" w:eastAsiaTheme="minorEastAsia" w:cstheme="minorEastAsia"/>
          <w:sz w:val="24"/>
          <w:szCs w:val="24"/>
          <w:lang w:val="en-US" w:eastAsia="zh-CN"/>
        </w:rPr>
        <w:t>30日</w:t>
      </w:r>
      <w:r>
        <w:rPr>
          <w:rFonts w:hint="eastAsia" w:asciiTheme="minorEastAsia" w:hAnsiTheme="minorEastAsia" w:eastAsiaTheme="minorEastAsia" w:cstheme="minorEastAsia"/>
          <w:sz w:val="24"/>
          <w:szCs w:val="24"/>
          <w:lang w:eastAsia="zh-CN"/>
        </w:rPr>
        <w:t>，采购人有权作废项目，且成交供应商仍应按约定支付违约金。</w:t>
      </w:r>
    </w:p>
    <w:p w14:paraId="02879901">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11.2.5</w:t>
      </w:r>
      <w:r>
        <w:rPr>
          <w:rFonts w:hint="eastAsia" w:asciiTheme="minorEastAsia" w:hAnsiTheme="minorEastAsia" w:eastAsiaTheme="minorEastAsia" w:cstheme="minorEastAsia"/>
          <w:sz w:val="24"/>
          <w:szCs w:val="24"/>
          <w:lang w:eastAsia="zh-CN"/>
        </w:rPr>
        <w:t>上述违约金数额并不影响受损害方另行向违约方要求损害赔偿。该赔偿以受损害方实际遭受的损失为限。</w:t>
      </w:r>
    </w:p>
    <w:p w14:paraId="7DA27F9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12、争议解决</w:t>
      </w:r>
      <w:r>
        <w:rPr>
          <w:rFonts w:hint="eastAsia" w:asciiTheme="minorEastAsia" w:hAnsiTheme="minorEastAsia" w:eastAsiaTheme="minorEastAsia" w:cstheme="minorEastAsia"/>
          <w:b/>
          <w:color w:val="auto"/>
          <w:sz w:val="24"/>
          <w:szCs w:val="24"/>
          <w:lang w:eastAsia="zh-CN"/>
        </w:rPr>
        <w:t>：</w:t>
      </w:r>
    </w:p>
    <w:p w14:paraId="148C3FF3">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12.1</w:t>
      </w:r>
      <w:r>
        <w:rPr>
          <w:rFonts w:hint="eastAsia" w:asciiTheme="minorEastAsia" w:hAnsiTheme="minorEastAsia" w:eastAsiaTheme="minorEastAsia" w:cstheme="minorEastAsia"/>
          <w:color w:val="auto"/>
          <w:sz w:val="24"/>
          <w:szCs w:val="24"/>
        </w:rPr>
        <w:t>因本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或与本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有关的一切事项发生争议，</w:t>
      </w:r>
      <w:r>
        <w:rPr>
          <w:rFonts w:hint="eastAsia" w:asciiTheme="minorEastAsia" w:hAnsiTheme="minorEastAsia" w:eastAsiaTheme="minorEastAsia" w:cstheme="minorEastAsia"/>
          <w:color w:val="auto"/>
          <w:sz w:val="24"/>
          <w:szCs w:val="24"/>
          <w:lang w:eastAsia="zh-CN"/>
        </w:rPr>
        <w:t>采购人、成交供应商双方协商解决。</w:t>
      </w:r>
    </w:p>
    <w:p w14:paraId="1889B0AB">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12.2</w:t>
      </w:r>
      <w:r>
        <w:rPr>
          <w:rFonts w:hint="eastAsia" w:asciiTheme="minorEastAsia" w:hAnsiTheme="minorEastAsia" w:eastAsiaTheme="minorEastAsia" w:cstheme="minorEastAsia"/>
          <w:color w:val="auto"/>
          <w:sz w:val="24"/>
          <w:szCs w:val="24"/>
          <w:lang w:eastAsia="zh-CN"/>
        </w:rPr>
        <w:t>若协商解决不成，则通过下列途径解决：</w:t>
      </w:r>
    </w:p>
    <w:p w14:paraId="6B4BF56F">
      <w:pPr>
        <w:pageBreakBefore w:val="0"/>
        <w:tabs>
          <w:tab w:val="left" w:pos="900"/>
          <w:tab w:val="left" w:pos="1100"/>
        </w:tabs>
        <w:kinsoku/>
        <w:wordWrap/>
        <w:overflowPunct/>
        <w:topLinePunct w:val="0"/>
        <w:autoSpaceDE/>
        <w:autoSpaceDN/>
        <w:bidi w:val="0"/>
        <w:snapToGrid/>
        <w:spacing w:line="400" w:lineRule="exact"/>
        <w:ind w:firstLine="470" w:firstLineChars="196"/>
        <w:rPr>
          <w:rFonts w:ascii="宋体" w:hAnsi="宋体" w:eastAsia="宋体" w:cs="宋体"/>
          <w:color w:val="auto"/>
          <w:sz w:val="32"/>
          <w:szCs w:val="32"/>
        </w:rPr>
      </w:pPr>
      <w:r>
        <w:rPr>
          <w:rFonts w:hint="eastAsia" w:asciiTheme="minorEastAsia" w:hAnsiTheme="minorEastAsia" w:eastAsiaTheme="minorEastAsia" w:cstheme="minorEastAsia"/>
          <w:color w:val="auto"/>
          <w:sz w:val="24"/>
          <w:szCs w:val="24"/>
          <w:lang w:eastAsia="zh-CN"/>
        </w:rPr>
        <w:t>向人民法院提起诉讼，具体如下：向采购人所在地有管辖权的人民法院提起诉讼。</w:t>
      </w:r>
    </w:p>
    <w:p w14:paraId="26E8123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kern w:val="0"/>
          <w:sz w:val="24"/>
          <w:szCs w:val="24"/>
          <w:lang w:val="en-US" w:eastAsia="zh-CN" w:bidi="ar-SA"/>
        </w:rPr>
        <w:t>13、</w:t>
      </w:r>
      <w:r>
        <w:rPr>
          <w:rFonts w:hint="eastAsia" w:asciiTheme="minorEastAsia" w:hAnsiTheme="minorEastAsia" w:eastAsiaTheme="minorEastAsia" w:cstheme="minorEastAsia"/>
          <w:b/>
          <w:bCs/>
          <w:color w:val="auto"/>
          <w:sz w:val="24"/>
          <w:szCs w:val="24"/>
        </w:rPr>
        <w:t>其他事项</w:t>
      </w:r>
      <w:r>
        <w:rPr>
          <w:rFonts w:hint="eastAsia" w:asciiTheme="minorEastAsia" w:hAnsiTheme="minorEastAsia" w:eastAsiaTheme="minorEastAsia" w:cstheme="minorEastAsia"/>
          <w:b/>
          <w:bCs/>
          <w:color w:val="auto"/>
          <w:sz w:val="24"/>
          <w:szCs w:val="24"/>
          <w:lang w:eastAsia="zh-CN"/>
        </w:rPr>
        <w:t>：</w:t>
      </w:r>
    </w:p>
    <w:p w14:paraId="3A51071F">
      <w:pPr>
        <w:pStyle w:val="18"/>
        <w:ind w:firstLine="480" w:firstLineChars="200"/>
        <w:rPr>
          <w:rFonts w:hint="default"/>
          <w:color w:val="auto"/>
          <w:lang w:val="en-US" w:eastAsia="zh-CN"/>
        </w:rPr>
      </w:pPr>
      <w:r>
        <w:rPr>
          <w:rFonts w:hint="eastAsia" w:ascii="宋体" w:hAnsi="宋体" w:eastAsia="宋体" w:cs="宋体"/>
          <w:b w:val="0"/>
          <w:bCs w:val="0"/>
          <w:color w:val="auto"/>
          <w:sz w:val="24"/>
          <w:szCs w:val="24"/>
          <w:lang w:val="en-US" w:eastAsia="zh-CN"/>
        </w:rPr>
        <w:t>13.1成交通知书供应商应自发出之日起2个工作日内领取。</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13.2供应商成交后，不得以任何理由将本项目分包、转包给第</w:t>
      </w:r>
      <w:r>
        <w:rPr>
          <w:rFonts w:hint="eastAsia" w:asciiTheme="minorEastAsia" w:hAnsiTheme="minorEastAsia" w:eastAsiaTheme="minorEastAsia" w:cstheme="minorEastAsia"/>
          <w:b w:val="0"/>
          <w:bCs w:val="0"/>
          <w:sz w:val="24"/>
          <w:szCs w:val="24"/>
          <w:lang w:val="en-US" w:eastAsia="zh-CN"/>
        </w:rPr>
        <w:t>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13.3若出现有关法律、法规和规章有强制性规定但网上竞价文件未列明的情形，则供应商应按照有关法律、法规和规章强制性规定执行。</w:t>
      </w:r>
    </w:p>
    <w:p w14:paraId="31B41898">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13.4本竞价文件未明确的其他约定事项或条款，待采购人与成交供应商签订合同时，由双方协商订立。</w:t>
      </w:r>
      <w:r>
        <w:rPr>
          <w:rFonts w:hint="eastAsia" w:asciiTheme="minorEastAsia" w:hAnsiTheme="minorEastAsia" w:eastAsiaTheme="minorEastAsia" w:cstheme="minorEastAsia"/>
          <w:sz w:val="24"/>
          <w:szCs w:val="24"/>
          <w:lang w:eastAsia="zh-CN"/>
        </w:rPr>
        <w:t>合同条款应与本采购需求文件内容保持一致。如本采购需求文件与合同条款存在冲突，以合同条款为准（但合同条款不得违背本采购需求文件的实质性内容）。</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sz w:val="24"/>
          <w:szCs w:val="24"/>
          <w:lang w:val="en-US" w:eastAsia="zh-CN"/>
        </w:rPr>
        <w:t>13.5供应商不得存在虚假应标谋取中标等行为，一经发现将取消其成交资格，并对其追究相关法律责任。若第一成交候选人因不可抗力或自身原因提出不能履行合同，采购人可以重</w:t>
      </w:r>
      <w:r>
        <w:rPr>
          <w:rFonts w:hint="eastAsia" w:asciiTheme="minorEastAsia" w:hAnsiTheme="minorEastAsia" w:eastAsiaTheme="minorEastAsia" w:cstheme="minorEastAsia"/>
          <w:b w:val="0"/>
          <w:bCs w:val="0"/>
          <w:color w:val="auto"/>
          <w:sz w:val="24"/>
          <w:szCs w:val="24"/>
          <w:lang w:val="en-US" w:eastAsia="zh-CN"/>
        </w:rPr>
        <w:t>新招标。</w:t>
      </w:r>
    </w:p>
    <w:p w14:paraId="7C0CB22B">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13.6</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lang w:val="en-US" w:eastAsia="zh-CN"/>
        </w:rPr>
        <w:t>可</w:t>
      </w:r>
      <w:r>
        <w:rPr>
          <w:rFonts w:hint="eastAsia" w:asciiTheme="minorEastAsia" w:hAnsiTheme="minorEastAsia" w:eastAsiaTheme="minorEastAsia" w:cstheme="minorEastAsia"/>
          <w:color w:val="auto"/>
          <w:sz w:val="24"/>
          <w:szCs w:val="24"/>
          <w:lang w:eastAsia="zh-CN"/>
        </w:rPr>
        <w:t>自行对项目现场进行踏勘，充分了解采购人用水现状及测试难度，充分考虑项目实施过程中的各种风险，踏勘费用自理。</w:t>
      </w:r>
    </w:p>
    <w:p w14:paraId="7BC5914C">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13.7</w:t>
      </w:r>
      <w:r>
        <w:rPr>
          <w:rFonts w:hint="eastAsia" w:asciiTheme="minorEastAsia" w:hAnsiTheme="minorEastAsia" w:eastAsiaTheme="minorEastAsia" w:cstheme="minorEastAsia"/>
          <w:sz w:val="24"/>
          <w:szCs w:val="24"/>
          <w:lang w:eastAsia="zh-CN"/>
        </w:rPr>
        <w:t>测试过程中需遵守采购人的规章制度和安全管理规定，确保人身及财产安全，如因成交供应商原因造成损失，由其承担全部责任。</w:t>
      </w:r>
    </w:p>
    <w:p w14:paraId="53AC9403">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13.8</w:t>
      </w:r>
      <w:r>
        <w:rPr>
          <w:rFonts w:hint="eastAsia" w:asciiTheme="minorEastAsia" w:hAnsiTheme="minorEastAsia" w:eastAsiaTheme="minorEastAsia" w:cstheme="minorEastAsia"/>
          <w:sz w:val="24"/>
          <w:szCs w:val="24"/>
          <w:lang w:eastAsia="zh-CN"/>
        </w:rPr>
        <w:t>在项目实施过程中，要爱护采购人公共设施，保持施工现场整洁，避免对采购人正常教学、科研、生活秩序造成影响。如因施工造成采购人设施损坏或环境污染，</w:t>
      </w:r>
      <w:r>
        <w:rPr>
          <w:rFonts w:hint="eastAsia" w:asciiTheme="minorEastAsia" w:hAnsiTheme="minorEastAsia" w:eastAsiaTheme="minorEastAsia" w:cstheme="minorEastAsia"/>
          <w:sz w:val="24"/>
          <w:szCs w:val="24"/>
          <w:lang w:val="en-US" w:eastAsia="zh-CN"/>
        </w:rPr>
        <w:t>成交供应商</w:t>
      </w:r>
      <w:r>
        <w:rPr>
          <w:rFonts w:hint="eastAsia" w:asciiTheme="minorEastAsia" w:hAnsiTheme="minorEastAsia" w:eastAsiaTheme="minorEastAsia" w:cstheme="minorEastAsia"/>
          <w:sz w:val="24"/>
          <w:szCs w:val="24"/>
          <w:lang w:eastAsia="zh-CN"/>
        </w:rPr>
        <w:t>需负责修复或赔偿。</w:t>
      </w:r>
    </w:p>
    <w:p w14:paraId="454AFA0C">
      <w:pPr>
        <w:pStyle w:val="18"/>
        <w:rPr>
          <w:rFonts w:hint="eastAsia"/>
          <w:lang w:val="en-US" w:eastAsia="zh-CN"/>
        </w:rPr>
      </w:pPr>
    </w:p>
    <w:p w14:paraId="17C39650">
      <w:pPr>
        <w:widowControl/>
        <w:spacing w:line="360" w:lineRule="auto"/>
        <w:jc w:val="center"/>
        <w:rPr>
          <w:rFonts w:hint="eastAsia" w:ascii="宋体" w:hAnsi="宋体"/>
          <w:b/>
          <w:bCs/>
          <w:color w:val="auto"/>
          <w:sz w:val="36"/>
          <w:szCs w:val="36"/>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6"/>
        <w:spacing w:line="360" w:lineRule="auto"/>
        <w:rPr>
          <w:color w:val="auto"/>
          <w:highlight w:val="none"/>
        </w:rPr>
      </w:pPr>
    </w:p>
    <w:p w14:paraId="3FC45419">
      <w:pPr>
        <w:pStyle w:val="7"/>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1676"/>
        <w:gridCol w:w="1785"/>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676"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785"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 </w:t>
            </w:r>
          </w:p>
        </w:tc>
        <w:tc>
          <w:tcPr>
            <w:tcW w:w="1676" w:type="dxa"/>
            <w:vAlign w:val="center"/>
          </w:tcPr>
          <w:p w14:paraId="03E2BE4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c>
          <w:tcPr>
            <w:tcW w:w="1785"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1676" w:type="dxa"/>
            <w:vAlign w:val="center"/>
          </w:tcPr>
          <w:p w14:paraId="138BAC3E">
            <w:pPr>
              <w:spacing w:line="360" w:lineRule="auto"/>
              <w:jc w:val="center"/>
              <w:rPr>
                <w:rFonts w:ascii="宋体" w:hAnsi="宋体" w:cs="宋体"/>
                <w:color w:val="auto"/>
                <w:sz w:val="24"/>
                <w:highlight w:val="none"/>
              </w:rPr>
            </w:pPr>
          </w:p>
        </w:tc>
        <w:tc>
          <w:tcPr>
            <w:tcW w:w="1785"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8"/>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7"/>
        <w:spacing w:line="360" w:lineRule="auto"/>
        <w:ind w:left="0" w:leftChars="0"/>
        <w:rPr>
          <w:rFonts w:ascii="宋体" w:hAnsi="宋体" w:cs="宋体"/>
          <w:color w:val="auto"/>
          <w:sz w:val="24"/>
          <w:highlight w:val="none"/>
        </w:rPr>
      </w:pPr>
    </w:p>
    <w:p w14:paraId="1119D3D2">
      <w:pPr>
        <w:pStyle w:val="8"/>
        <w:spacing w:line="360" w:lineRule="auto"/>
        <w:rPr>
          <w:rFonts w:ascii="宋体" w:hAnsi="宋体" w:cs="宋体"/>
          <w:color w:val="auto"/>
          <w:sz w:val="24"/>
          <w:highlight w:val="none"/>
        </w:rPr>
      </w:pPr>
    </w:p>
    <w:p w14:paraId="5321318A">
      <w:pPr>
        <w:pStyle w:val="8"/>
        <w:spacing w:line="360" w:lineRule="auto"/>
        <w:rPr>
          <w:rFonts w:ascii="宋体" w:hAnsi="宋体" w:cs="宋体"/>
          <w:color w:val="auto"/>
          <w:sz w:val="24"/>
          <w:highlight w:val="none"/>
        </w:rPr>
      </w:pPr>
    </w:p>
    <w:p w14:paraId="3C82014B">
      <w:pPr>
        <w:pStyle w:val="8"/>
        <w:spacing w:line="360" w:lineRule="auto"/>
        <w:rPr>
          <w:rFonts w:ascii="宋体" w:hAnsi="宋体" w:cs="宋体"/>
          <w:color w:val="auto"/>
          <w:sz w:val="24"/>
          <w:highlight w:val="none"/>
        </w:rPr>
      </w:pPr>
    </w:p>
    <w:p w14:paraId="3726D4AE">
      <w:pPr>
        <w:pStyle w:val="8"/>
        <w:spacing w:line="360" w:lineRule="auto"/>
        <w:rPr>
          <w:rFonts w:ascii="宋体" w:hAnsi="宋体" w:cs="宋体"/>
          <w:color w:val="auto"/>
          <w:sz w:val="24"/>
          <w:highlight w:val="none"/>
        </w:rPr>
      </w:pPr>
    </w:p>
    <w:p w14:paraId="0F16B34A">
      <w:pPr>
        <w:pStyle w:val="8"/>
        <w:spacing w:line="360" w:lineRule="auto"/>
        <w:rPr>
          <w:rFonts w:ascii="宋体" w:hAnsi="宋体" w:cs="宋体"/>
          <w:color w:val="auto"/>
          <w:sz w:val="24"/>
          <w:highlight w:val="none"/>
        </w:rPr>
      </w:pPr>
    </w:p>
    <w:p w14:paraId="73F56BF6">
      <w:pPr>
        <w:pStyle w:val="8"/>
        <w:spacing w:line="360" w:lineRule="auto"/>
        <w:rPr>
          <w:rFonts w:ascii="宋体" w:hAnsi="宋体" w:cs="宋体"/>
          <w:color w:val="auto"/>
          <w:sz w:val="24"/>
          <w:highlight w:val="none"/>
        </w:rPr>
      </w:pPr>
    </w:p>
    <w:p w14:paraId="61FA2276">
      <w:pPr>
        <w:pStyle w:val="8"/>
        <w:spacing w:line="360" w:lineRule="auto"/>
        <w:rPr>
          <w:rFonts w:ascii="宋体" w:hAnsi="宋体" w:cs="宋体"/>
          <w:color w:val="auto"/>
          <w:sz w:val="24"/>
          <w:highlight w:val="none"/>
        </w:rPr>
      </w:pPr>
    </w:p>
    <w:p w14:paraId="468F1230">
      <w:pPr>
        <w:pStyle w:val="8"/>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7"/>
        <w:spacing w:line="360" w:lineRule="auto"/>
        <w:ind w:left="0" w:leftChars="0"/>
        <w:rPr>
          <w:rFonts w:ascii="宋体" w:hAnsi="宋体" w:cs="宋体"/>
          <w:b/>
          <w:bCs/>
          <w:color w:val="auto"/>
          <w:sz w:val="28"/>
          <w:szCs w:val="28"/>
          <w:highlight w:val="none"/>
        </w:rPr>
      </w:pPr>
    </w:p>
    <w:p w14:paraId="2C71186F">
      <w:pPr>
        <w:pStyle w:val="8"/>
        <w:spacing w:line="360" w:lineRule="auto"/>
        <w:rPr>
          <w:rFonts w:ascii="宋体" w:hAnsi="宋体" w:cs="宋体"/>
          <w:b/>
          <w:bCs/>
          <w:color w:val="auto"/>
          <w:sz w:val="28"/>
          <w:szCs w:val="28"/>
          <w:highlight w:val="none"/>
        </w:rPr>
      </w:pPr>
    </w:p>
    <w:p w14:paraId="0776CC2D">
      <w:pPr>
        <w:pStyle w:val="8"/>
        <w:spacing w:line="360" w:lineRule="auto"/>
        <w:rPr>
          <w:rFonts w:ascii="宋体" w:hAnsi="宋体" w:cs="宋体"/>
          <w:b/>
          <w:bCs/>
          <w:color w:val="auto"/>
          <w:sz w:val="28"/>
          <w:szCs w:val="28"/>
          <w:highlight w:val="none"/>
        </w:rPr>
      </w:pPr>
    </w:p>
    <w:p w14:paraId="79EF7A83">
      <w:pPr>
        <w:pStyle w:val="7"/>
        <w:spacing w:line="360" w:lineRule="auto"/>
        <w:ind w:left="0" w:leftChars="0"/>
        <w:rPr>
          <w:rFonts w:ascii="宋体" w:hAnsi="宋体" w:cs="宋体"/>
          <w:b/>
          <w:bCs/>
          <w:color w:val="auto"/>
          <w:sz w:val="28"/>
          <w:szCs w:val="28"/>
          <w:highlight w:val="none"/>
        </w:rPr>
      </w:pPr>
    </w:p>
    <w:p w14:paraId="06B2F9FD">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8"/>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8"/>
        <w:spacing w:line="360" w:lineRule="auto"/>
        <w:rPr>
          <w:rFonts w:ascii="宋体" w:hAnsi="宋体" w:cs="宋体"/>
          <w:b/>
          <w:bCs/>
          <w:color w:val="auto"/>
          <w:sz w:val="28"/>
          <w:szCs w:val="28"/>
          <w:highlight w:val="none"/>
        </w:rPr>
      </w:pPr>
    </w:p>
    <w:p w14:paraId="31F6CFBA">
      <w:pPr>
        <w:pStyle w:val="7"/>
        <w:spacing w:line="360" w:lineRule="auto"/>
        <w:ind w:left="0" w:leftChars="0"/>
        <w:jc w:val="center"/>
        <w:rPr>
          <w:rFonts w:ascii="宋体" w:hAnsi="宋体" w:cs="宋体"/>
          <w:b/>
          <w:bCs/>
          <w:color w:val="auto"/>
          <w:sz w:val="28"/>
          <w:szCs w:val="28"/>
          <w:highlight w:val="none"/>
        </w:rPr>
      </w:pPr>
    </w:p>
    <w:p w14:paraId="37897154">
      <w:pPr>
        <w:pStyle w:val="7"/>
        <w:spacing w:line="360" w:lineRule="auto"/>
        <w:ind w:left="0" w:leftChars="0"/>
        <w:jc w:val="center"/>
        <w:rPr>
          <w:rFonts w:ascii="宋体" w:hAnsi="宋体" w:cs="宋体"/>
          <w:b/>
          <w:bCs/>
          <w:color w:val="auto"/>
          <w:sz w:val="28"/>
          <w:szCs w:val="28"/>
          <w:highlight w:val="none"/>
        </w:rPr>
      </w:pPr>
    </w:p>
    <w:p w14:paraId="19D064AE">
      <w:pPr>
        <w:pStyle w:val="7"/>
        <w:spacing w:line="360" w:lineRule="auto"/>
        <w:ind w:left="0" w:leftChars="0"/>
        <w:jc w:val="center"/>
        <w:rPr>
          <w:rFonts w:ascii="宋体" w:hAnsi="宋体" w:cs="宋体"/>
          <w:b/>
          <w:bCs/>
          <w:color w:val="auto"/>
          <w:sz w:val="28"/>
          <w:szCs w:val="28"/>
          <w:highlight w:val="none"/>
        </w:rPr>
      </w:pPr>
    </w:p>
    <w:p w14:paraId="0ED390FA">
      <w:pPr>
        <w:pStyle w:val="7"/>
        <w:spacing w:line="360" w:lineRule="auto"/>
        <w:ind w:left="0" w:leftChars="0"/>
        <w:jc w:val="center"/>
        <w:rPr>
          <w:rFonts w:ascii="宋体" w:hAnsi="宋体" w:cs="宋体"/>
          <w:b/>
          <w:bCs/>
          <w:color w:val="auto"/>
          <w:sz w:val="28"/>
          <w:szCs w:val="28"/>
          <w:highlight w:val="none"/>
        </w:rPr>
      </w:pPr>
    </w:p>
    <w:p w14:paraId="3C84BE07">
      <w:pPr>
        <w:pStyle w:val="7"/>
        <w:spacing w:line="360" w:lineRule="auto"/>
        <w:ind w:left="0" w:leftChars="0"/>
        <w:jc w:val="center"/>
        <w:rPr>
          <w:rFonts w:ascii="宋体" w:hAnsi="宋体" w:cs="宋体"/>
          <w:b/>
          <w:bCs/>
          <w:color w:val="auto"/>
          <w:sz w:val="28"/>
          <w:szCs w:val="28"/>
          <w:highlight w:val="none"/>
        </w:rPr>
      </w:pPr>
    </w:p>
    <w:p w14:paraId="64E4F662">
      <w:pPr>
        <w:pStyle w:val="7"/>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7"/>
        <w:spacing w:line="360" w:lineRule="auto"/>
        <w:ind w:left="0" w:leftChars="0"/>
        <w:jc w:val="center"/>
        <w:rPr>
          <w:rFonts w:ascii="宋体" w:hAnsi="宋体" w:cs="宋体"/>
          <w:b/>
          <w:bCs/>
          <w:color w:val="auto"/>
          <w:sz w:val="28"/>
          <w:szCs w:val="28"/>
          <w:highlight w:val="none"/>
        </w:rPr>
      </w:pPr>
    </w:p>
    <w:p w14:paraId="7CEA87EF">
      <w:pPr>
        <w:pStyle w:val="7"/>
        <w:spacing w:line="360" w:lineRule="auto"/>
        <w:ind w:left="0" w:leftChars="0"/>
        <w:jc w:val="center"/>
        <w:rPr>
          <w:rFonts w:ascii="宋体" w:hAnsi="宋体" w:cs="宋体"/>
          <w:b/>
          <w:bCs/>
          <w:color w:val="auto"/>
          <w:sz w:val="28"/>
          <w:szCs w:val="28"/>
          <w:highlight w:val="none"/>
        </w:rPr>
      </w:pPr>
    </w:p>
    <w:p w14:paraId="331B2308">
      <w:pPr>
        <w:pStyle w:val="7"/>
        <w:spacing w:line="360" w:lineRule="auto"/>
        <w:ind w:left="0" w:leftChars="0"/>
        <w:jc w:val="center"/>
        <w:rPr>
          <w:rFonts w:ascii="宋体" w:hAnsi="宋体" w:cs="宋体"/>
          <w:b/>
          <w:bCs/>
          <w:color w:val="auto"/>
          <w:sz w:val="28"/>
          <w:szCs w:val="28"/>
          <w:highlight w:val="none"/>
        </w:rPr>
      </w:pPr>
    </w:p>
    <w:p w14:paraId="574F2A9B">
      <w:pPr>
        <w:pStyle w:val="7"/>
        <w:spacing w:line="360" w:lineRule="auto"/>
        <w:ind w:left="0" w:leftChars="0"/>
        <w:jc w:val="center"/>
        <w:rPr>
          <w:rFonts w:ascii="宋体" w:hAnsi="宋体" w:cs="宋体"/>
          <w:b/>
          <w:bCs/>
          <w:color w:val="auto"/>
          <w:sz w:val="28"/>
          <w:szCs w:val="28"/>
          <w:highlight w:val="none"/>
        </w:rPr>
      </w:pPr>
    </w:p>
    <w:p w14:paraId="3DB00B5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8"/>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8"/>
        <w:spacing w:line="360" w:lineRule="auto"/>
        <w:rPr>
          <w:rFonts w:ascii="宋体" w:hAnsi="宋体" w:cs="宋体"/>
          <w:b/>
          <w:bCs/>
          <w:color w:val="auto"/>
          <w:sz w:val="28"/>
          <w:szCs w:val="28"/>
          <w:highlight w:val="none"/>
        </w:rPr>
      </w:pPr>
    </w:p>
    <w:p w14:paraId="22A9EDD9">
      <w:pPr>
        <w:pStyle w:val="8"/>
        <w:spacing w:line="360" w:lineRule="auto"/>
        <w:rPr>
          <w:color w:val="auto"/>
          <w:highlight w:val="none"/>
        </w:rPr>
      </w:pPr>
    </w:p>
    <w:p w14:paraId="01C7C78E">
      <w:pPr>
        <w:pStyle w:val="8"/>
        <w:spacing w:line="360" w:lineRule="auto"/>
        <w:rPr>
          <w:color w:val="auto"/>
          <w:highlight w:val="none"/>
        </w:rPr>
      </w:pPr>
    </w:p>
    <w:p w14:paraId="35556AE7">
      <w:pPr>
        <w:pStyle w:val="8"/>
        <w:spacing w:line="360" w:lineRule="auto"/>
        <w:rPr>
          <w:color w:val="auto"/>
          <w:highlight w:val="none"/>
        </w:rPr>
      </w:pPr>
    </w:p>
    <w:p w14:paraId="4E1A6E85">
      <w:pPr>
        <w:pStyle w:val="8"/>
        <w:spacing w:line="360" w:lineRule="auto"/>
        <w:rPr>
          <w:color w:val="auto"/>
          <w:highlight w:val="none"/>
        </w:rPr>
      </w:pPr>
    </w:p>
    <w:p w14:paraId="46AD2750">
      <w:pPr>
        <w:pStyle w:val="8"/>
        <w:spacing w:line="360" w:lineRule="auto"/>
        <w:rPr>
          <w:color w:val="auto"/>
          <w:highlight w:val="none"/>
        </w:rPr>
      </w:pPr>
    </w:p>
    <w:p w14:paraId="1913FC5F">
      <w:pPr>
        <w:pStyle w:val="8"/>
        <w:spacing w:line="360" w:lineRule="auto"/>
        <w:rPr>
          <w:color w:val="auto"/>
          <w:highlight w:val="none"/>
        </w:rPr>
      </w:pPr>
    </w:p>
    <w:p w14:paraId="61F60254">
      <w:pPr>
        <w:pStyle w:val="8"/>
        <w:spacing w:line="360" w:lineRule="auto"/>
        <w:rPr>
          <w:color w:val="auto"/>
          <w:highlight w:val="none"/>
        </w:rPr>
      </w:pPr>
    </w:p>
    <w:p w14:paraId="02CCF8EF">
      <w:pPr>
        <w:pStyle w:val="8"/>
        <w:spacing w:line="360" w:lineRule="auto"/>
        <w:rPr>
          <w:color w:val="auto"/>
          <w:highlight w:val="none"/>
        </w:rPr>
      </w:pPr>
    </w:p>
    <w:p w14:paraId="40D9D294">
      <w:pPr>
        <w:pStyle w:val="8"/>
        <w:spacing w:line="360" w:lineRule="auto"/>
        <w:rPr>
          <w:color w:val="auto"/>
          <w:highlight w:val="none"/>
        </w:rPr>
      </w:pPr>
    </w:p>
    <w:p w14:paraId="26CFA76D">
      <w:pPr>
        <w:pStyle w:val="8"/>
        <w:spacing w:line="360" w:lineRule="auto"/>
        <w:rPr>
          <w:color w:val="auto"/>
          <w:highlight w:val="none"/>
        </w:rPr>
      </w:pPr>
    </w:p>
    <w:p w14:paraId="6236DE25">
      <w:pPr>
        <w:pStyle w:val="8"/>
        <w:spacing w:line="360" w:lineRule="auto"/>
        <w:rPr>
          <w:color w:val="auto"/>
          <w:highlight w:val="none"/>
        </w:rPr>
      </w:pPr>
    </w:p>
    <w:p w14:paraId="3DC90531">
      <w:pPr>
        <w:pStyle w:val="8"/>
        <w:spacing w:line="360" w:lineRule="auto"/>
        <w:rPr>
          <w:color w:val="auto"/>
          <w:highlight w:val="none"/>
        </w:rPr>
      </w:pPr>
    </w:p>
    <w:p w14:paraId="6810E63F">
      <w:pPr>
        <w:pStyle w:val="8"/>
        <w:spacing w:line="360" w:lineRule="auto"/>
        <w:rPr>
          <w:color w:val="auto"/>
          <w:highlight w:val="none"/>
        </w:rPr>
      </w:pPr>
    </w:p>
    <w:p w14:paraId="2D859747">
      <w:pPr>
        <w:pStyle w:val="8"/>
        <w:spacing w:line="360" w:lineRule="auto"/>
        <w:rPr>
          <w:color w:val="auto"/>
          <w:highlight w:val="none"/>
        </w:rPr>
      </w:pPr>
    </w:p>
    <w:p w14:paraId="1A9B0A73">
      <w:pPr>
        <w:pStyle w:val="8"/>
        <w:spacing w:line="360" w:lineRule="auto"/>
        <w:rPr>
          <w:color w:val="auto"/>
          <w:highlight w:val="none"/>
        </w:rPr>
      </w:pPr>
    </w:p>
    <w:p w14:paraId="09BAEE9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7"/>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8"/>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7"/>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7"/>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7"/>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7"/>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7"/>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46"/>
        <w:gridCol w:w="1901"/>
        <w:gridCol w:w="1263"/>
        <w:gridCol w:w="2078"/>
        <w:gridCol w:w="2221"/>
      </w:tblGrid>
      <w:tr w14:paraId="578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8"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6"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01"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ascii="宋体" w:hAnsi="宋体" w:cs="宋体"/>
                <w:color w:val="auto"/>
                <w:sz w:val="24"/>
                <w:szCs w:val="24"/>
                <w:lang w:val="en-US" w:eastAsia="zh-CN"/>
              </w:rPr>
              <w:t>服务名称</w:t>
            </w:r>
          </w:p>
        </w:tc>
        <w:tc>
          <w:tcPr>
            <w:tcW w:w="1263"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78" w:type="dxa"/>
            <w:vAlign w:val="center"/>
          </w:tcPr>
          <w:p w14:paraId="38B8ED99">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21" w:type="dxa"/>
            <w:vAlign w:val="center"/>
          </w:tcPr>
          <w:p w14:paraId="372C4D38">
            <w:pPr>
              <w:pStyle w:val="10"/>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432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exact"/>
          <w:jc w:val="center"/>
        </w:trPr>
        <w:tc>
          <w:tcPr>
            <w:tcW w:w="968"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6"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901" w:type="dxa"/>
            <w:vAlign w:val="center"/>
          </w:tcPr>
          <w:p w14:paraId="62261F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p>
        </w:tc>
        <w:tc>
          <w:tcPr>
            <w:tcW w:w="1263" w:type="dxa"/>
            <w:vAlign w:val="center"/>
          </w:tcPr>
          <w:p w14:paraId="20574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p>
        </w:tc>
        <w:tc>
          <w:tcPr>
            <w:tcW w:w="2078" w:type="dxa"/>
            <w:vAlign w:val="center"/>
          </w:tcPr>
          <w:p w14:paraId="5F9E2280">
            <w:pPr>
              <w:snapToGrid w:val="0"/>
              <w:spacing w:line="240" w:lineRule="auto"/>
              <w:jc w:val="center"/>
              <w:rPr>
                <w:rFonts w:ascii="宋体" w:hAnsi="宋体" w:cs="宋体"/>
                <w:color w:val="auto"/>
                <w:kern w:val="0"/>
                <w:sz w:val="24"/>
                <w:highlight w:val="none"/>
              </w:rPr>
            </w:pPr>
          </w:p>
        </w:tc>
        <w:tc>
          <w:tcPr>
            <w:tcW w:w="2221" w:type="dxa"/>
            <w:vAlign w:val="center"/>
          </w:tcPr>
          <w:p w14:paraId="4DFD41D2">
            <w:pPr>
              <w:widowControl/>
              <w:spacing w:line="240" w:lineRule="auto"/>
              <w:jc w:val="left"/>
              <w:rPr>
                <w:rFonts w:ascii="宋体" w:hAnsi="宋体"/>
                <w:color w:val="auto"/>
                <w:sz w:val="24"/>
                <w:highlight w:val="none"/>
              </w:rPr>
            </w:pPr>
          </w:p>
        </w:tc>
      </w:tr>
    </w:tbl>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E6468F1">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020D60"/>
    <w:rsid w:val="061C715B"/>
    <w:rsid w:val="0696261C"/>
    <w:rsid w:val="07702EBF"/>
    <w:rsid w:val="08293E73"/>
    <w:rsid w:val="08A00C2F"/>
    <w:rsid w:val="09A06EBC"/>
    <w:rsid w:val="0A482682"/>
    <w:rsid w:val="0AF75143"/>
    <w:rsid w:val="0B043CFB"/>
    <w:rsid w:val="0CA2647A"/>
    <w:rsid w:val="0CBB2DDD"/>
    <w:rsid w:val="0D2167C4"/>
    <w:rsid w:val="0D2D3085"/>
    <w:rsid w:val="0DAA7832"/>
    <w:rsid w:val="0DD979BE"/>
    <w:rsid w:val="0DEB14A0"/>
    <w:rsid w:val="0E0D1416"/>
    <w:rsid w:val="0FBD7DE5"/>
    <w:rsid w:val="10362DC0"/>
    <w:rsid w:val="10CE3388"/>
    <w:rsid w:val="10E42CCD"/>
    <w:rsid w:val="11790FDD"/>
    <w:rsid w:val="11AD4ADB"/>
    <w:rsid w:val="126445BB"/>
    <w:rsid w:val="13ED41C3"/>
    <w:rsid w:val="149A3D57"/>
    <w:rsid w:val="14DD66A2"/>
    <w:rsid w:val="15512530"/>
    <w:rsid w:val="15EB52EB"/>
    <w:rsid w:val="164556E1"/>
    <w:rsid w:val="16810234"/>
    <w:rsid w:val="17254BB9"/>
    <w:rsid w:val="175D4ED0"/>
    <w:rsid w:val="17A728DB"/>
    <w:rsid w:val="18D25B4A"/>
    <w:rsid w:val="19121A44"/>
    <w:rsid w:val="192817FA"/>
    <w:rsid w:val="199476C8"/>
    <w:rsid w:val="19C44ADF"/>
    <w:rsid w:val="19F043F2"/>
    <w:rsid w:val="1A0F193E"/>
    <w:rsid w:val="1A512FD2"/>
    <w:rsid w:val="1AA3690C"/>
    <w:rsid w:val="1AC71843"/>
    <w:rsid w:val="1AD364FF"/>
    <w:rsid w:val="1ADE3486"/>
    <w:rsid w:val="1B08700D"/>
    <w:rsid w:val="1B261D69"/>
    <w:rsid w:val="1B6C00C4"/>
    <w:rsid w:val="1BF43CB2"/>
    <w:rsid w:val="1C7D1E5D"/>
    <w:rsid w:val="1CD34D8F"/>
    <w:rsid w:val="1DAA6E61"/>
    <w:rsid w:val="1E0F3C2B"/>
    <w:rsid w:val="1E2C09AB"/>
    <w:rsid w:val="1E897F61"/>
    <w:rsid w:val="1F1C42EA"/>
    <w:rsid w:val="1F686EFF"/>
    <w:rsid w:val="1FB366B0"/>
    <w:rsid w:val="21150CB8"/>
    <w:rsid w:val="213B2764"/>
    <w:rsid w:val="21657A51"/>
    <w:rsid w:val="231A63AE"/>
    <w:rsid w:val="23B73EA6"/>
    <w:rsid w:val="23F4427C"/>
    <w:rsid w:val="25333A88"/>
    <w:rsid w:val="25776FB2"/>
    <w:rsid w:val="26B047DC"/>
    <w:rsid w:val="26BD4622"/>
    <w:rsid w:val="26C54B2C"/>
    <w:rsid w:val="27BC5F2F"/>
    <w:rsid w:val="27C42B43"/>
    <w:rsid w:val="28C13F2B"/>
    <w:rsid w:val="298465B1"/>
    <w:rsid w:val="29FE1773"/>
    <w:rsid w:val="2A604980"/>
    <w:rsid w:val="2A727AC6"/>
    <w:rsid w:val="2B5318E1"/>
    <w:rsid w:val="2BCE7FDF"/>
    <w:rsid w:val="2CC80594"/>
    <w:rsid w:val="2D484F7D"/>
    <w:rsid w:val="2DDE2D69"/>
    <w:rsid w:val="2EBE2586"/>
    <w:rsid w:val="2ECC1930"/>
    <w:rsid w:val="2F07679A"/>
    <w:rsid w:val="2F4F4B8D"/>
    <w:rsid w:val="312D39F9"/>
    <w:rsid w:val="31A664BD"/>
    <w:rsid w:val="31B67ACD"/>
    <w:rsid w:val="334D7ECB"/>
    <w:rsid w:val="336F02F9"/>
    <w:rsid w:val="33F45566"/>
    <w:rsid w:val="34160775"/>
    <w:rsid w:val="3444677B"/>
    <w:rsid w:val="3503072C"/>
    <w:rsid w:val="356F257B"/>
    <w:rsid w:val="35786F8C"/>
    <w:rsid w:val="35E30AE8"/>
    <w:rsid w:val="36265ADC"/>
    <w:rsid w:val="36F5483C"/>
    <w:rsid w:val="37C01392"/>
    <w:rsid w:val="389425B0"/>
    <w:rsid w:val="398879CF"/>
    <w:rsid w:val="39ED24EA"/>
    <w:rsid w:val="3A0E0140"/>
    <w:rsid w:val="3A9D764F"/>
    <w:rsid w:val="3ACB1E7C"/>
    <w:rsid w:val="3C65673D"/>
    <w:rsid w:val="3CE851D3"/>
    <w:rsid w:val="3D035E9B"/>
    <w:rsid w:val="3D4B1754"/>
    <w:rsid w:val="3D50551B"/>
    <w:rsid w:val="3D6C7658"/>
    <w:rsid w:val="3DC2628F"/>
    <w:rsid w:val="3DD60AE2"/>
    <w:rsid w:val="3E5C0069"/>
    <w:rsid w:val="3E7A2DAA"/>
    <w:rsid w:val="3E8B1175"/>
    <w:rsid w:val="3EC82FB3"/>
    <w:rsid w:val="3F9E5AC2"/>
    <w:rsid w:val="3FAC28BB"/>
    <w:rsid w:val="3FB97B2C"/>
    <w:rsid w:val="40181D19"/>
    <w:rsid w:val="40BD676E"/>
    <w:rsid w:val="40DB643C"/>
    <w:rsid w:val="417E75E8"/>
    <w:rsid w:val="41910115"/>
    <w:rsid w:val="41D908F9"/>
    <w:rsid w:val="438B3EDE"/>
    <w:rsid w:val="4495014D"/>
    <w:rsid w:val="44AD0C2A"/>
    <w:rsid w:val="44C61B6C"/>
    <w:rsid w:val="44F31851"/>
    <w:rsid w:val="45AA573E"/>
    <w:rsid w:val="45B275F5"/>
    <w:rsid w:val="46BC33FE"/>
    <w:rsid w:val="46EE7477"/>
    <w:rsid w:val="47BC0C07"/>
    <w:rsid w:val="47E210AF"/>
    <w:rsid w:val="489259CA"/>
    <w:rsid w:val="498B3956"/>
    <w:rsid w:val="49EC54BB"/>
    <w:rsid w:val="4A464705"/>
    <w:rsid w:val="4AD5737D"/>
    <w:rsid w:val="4AF94EF9"/>
    <w:rsid w:val="4BB0030E"/>
    <w:rsid w:val="4BC53306"/>
    <w:rsid w:val="4C15710C"/>
    <w:rsid w:val="4C2E5FB6"/>
    <w:rsid w:val="4C3B5575"/>
    <w:rsid w:val="4C63431C"/>
    <w:rsid w:val="4C9444D5"/>
    <w:rsid w:val="4CE2174D"/>
    <w:rsid w:val="4D263E11"/>
    <w:rsid w:val="4D505935"/>
    <w:rsid w:val="4D72372E"/>
    <w:rsid w:val="4E141911"/>
    <w:rsid w:val="4E370E84"/>
    <w:rsid w:val="4EBB778D"/>
    <w:rsid w:val="4F7C19ED"/>
    <w:rsid w:val="4FB142EA"/>
    <w:rsid w:val="50267FF1"/>
    <w:rsid w:val="506863A4"/>
    <w:rsid w:val="508F27C5"/>
    <w:rsid w:val="50F55D99"/>
    <w:rsid w:val="513814F5"/>
    <w:rsid w:val="513B5867"/>
    <w:rsid w:val="51497716"/>
    <w:rsid w:val="51A30093"/>
    <w:rsid w:val="520457CB"/>
    <w:rsid w:val="52124454"/>
    <w:rsid w:val="522C2C59"/>
    <w:rsid w:val="539774E2"/>
    <w:rsid w:val="53C953AC"/>
    <w:rsid w:val="541A03F5"/>
    <w:rsid w:val="54C5216A"/>
    <w:rsid w:val="54D577A2"/>
    <w:rsid w:val="55357439"/>
    <w:rsid w:val="57286DB3"/>
    <w:rsid w:val="57315742"/>
    <w:rsid w:val="589A572D"/>
    <w:rsid w:val="589B7196"/>
    <w:rsid w:val="58C92DB8"/>
    <w:rsid w:val="590271D1"/>
    <w:rsid w:val="594608FB"/>
    <w:rsid w:val="59AF6DF2"/>
    <w:rsid w:val="5A2C4216"/>
    <w:rsid w:val="5A3433AD"/>
    <w:rsid w:val="5A550A07"/>
    <w:rsid w:val="5B3931A0"/>
    <w:rsid w:val="5B761B8D"/>
    <w:rsid w:val="5BC000BF"/>
    <w:rsid w:val="5C5E2DC5"/>
    <w:rsid w:val="5D01514B"/>
    <w:rsid w:val="5DBA0782"/>
    <w:rsid w:val="5EFD1A12"/>
    <w:rsid w:val="5F2D396D"/>
    <w:rsid w:val="60A52CFD"/>
    <w:rsid w:val="60D04179"/>
    <w:rsid w:val="60E47381"/>
    <w:rsid w:val="61C7729B"/>
    <w:rsid w:val="62641034"/>
    <w:rsid w:val="635A2C28"/>
    <w:rsid w:val="6374691F"/>
    <w:rsid w:val="63BA7B71"/>
    <w:rsid w:val="63BC0257"/>
    <w:rsid w:val="643B2EFE"/>
    <w:rsid w:val="644665A5"/>
    <w:rsid w:val="64644411"/>
    <w:rsid w:val="65005919"/>
    <w:rsid w:val="6536434F"/>
    <w:rsid w:val="665A019F"/>
    <w:rsid w:val="6672068F"/>
    <w:rsid w:val="66AD46B9"/>
    <w:rsid w:val="670C6B88"/>
    <w:rsid w:val="67BF44A6"/>
    <w:rsid w:val="67E6633A"/>
    <w:rsid w:val="68975621"/>
    <w:rsid w:val="689F61CC"/>
    <w:rsid w:val="68AC5DD9"/>
    <w:rsid w:val="68C926A3"/>
    <w:rsid w:val="692857E0"/>
    <w:rsid w:val="69935D1A"/>
    <w:rsid w:val="69E70454"/>
    <w:rsid w:val="6A6C5C24"/>
    <w:rsid w:val="6A832AFB"/>
    <w:rsid w:val="6B5E6742"/>
    <w:rsid w:val="6C8877BF"/>
    <w:rsid w:val="6CD40DBF"/>
    <w:rsid w:val="6D0D24E0"/>
    <w:rsid w:val="6DA050EC"/>
    <w:rsid w:val="6DFD21E5"/>
    <w:rsid w:val="6E0440FB"/>
    <w:rsid w:val="6ED44ED9"/>
    <w:rsid w:val="6FCF0E93"/>
    <w:rsid w:val="6FD05F3F"/>
    <w:rsid w:val="703B20B6"/>
    <w:rsid w:val="724A1DFC"/>
    <w:rsid w:val="72845AC6"/>
    <w:rsid w:val="72916AD9"/>
    <w:rsid w:val="72F8490A"/>
    <w:rsid w:val="73D239B1"/>
    <w:rsid w:val="73ED08CD"/>
    <w:rsid w:val="73F676A0"/>
    <w:rsid w:val="74120755"/>
    <w:rsid w:val="745C662B"/>
    <w:rsid w:val="74B308B5"/>
    <w:rsid w:val="75247769"/>
    <w:rsid w:val="75313CDE"/>
    <w:rsid w:val="753F0E71"/>
    <w:rsid w:val="75645785"/>
    <w:rsid w:val="75716A92"/>
    <w:rsid w:val="758D2516"/>
    <w:rsid w:val="7599235F"/>
    <w:rsid w:val="75AE2AF5"/>
    <w:rsid w:val="75BD7F3E"/>
    <w:rsid w:val="7858402F"/>
    <w:rsid w:val="78D50787"/>
    <w:rsid w:val="794A53F5"/>
    <w:rsid w:val="79A30EAB"/>
    <w:rsid w:val="79B17807"/>
    <w:rsid w:val="79FE2EB5"/>
    <w:rsid w:val="7A1940E8"/>
    <w:rsid w:val="7AE26EA4"/>
    <w:rsid w:val="7B8F04A8"/>
    <w:rsid w:val="7C95557C"/>
    <w:rsid w:val="7D3A4490"/>
    <w:rsid w:val="7D3F0A9F"/>
    <w:rsid w:val="7DC41D70"/>
    <w:rsid w:val="7E417867"/>
    <w:rsid w:val="7F034C8E"/>
    <w:rsid w:val="7FA01934"/>
    <w:rsid w:val="7FA1147B"/>
    <w:rsid w:val="EEFF18BC"/>
    <w:rsid w:val="FAF7CE89"/>
    <w:rsid w:val="FD57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7"/>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2"/>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10"/>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2"/>
    <w:autoRedefine/>
    <w:qFormat/>
    <w:uiPriority w:val="0"/>
    <w:rPr>
      <w:rFonts w:ascii="Calibri" w:hAnsi="Calibri"/>
      <w:kern w:val="2"/>
      <w:sz w:val="18"/>
      <w:szCs w:val="18"/>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NormalIndent"/>
    <w:basedOn w:val="1"/>
    <w:next w:val="40"/>
    <w:autoRedefine/>
    <w:qFormat/>
    <w:uiPriority w:val="0"/>
    <w:pPr>
      <w:ind w:firstLine="420"/>
    </w:pPr>
    <w:rPr>
      <w:szCs w:val="20"/>
    </w:rPr>
  </w:style>
  <w:style w:type="paragraph" w:customStyle="1" w:styleId="40">
    <w:name w:val="BodyTextIndent"/>
    <w:basedOn w:val="1"/>
    <w:next w:val="39"/>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11649</Words>
  <Characters>12300</Characters>
  <Lines>186</Lines>
  <Paragraphs>52</Paragraphs>
  <TotalTime>2</TotalTime>
  <ScaleCrop>false</ScaleCrop>
  <LinksUpToDate>false</LinksUpToDate>
  <CharactersWithSpaces>13035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ㅤ</cp:lastModifiedBy>
  <cp:lastPrinted>2024-08-30T23:08:00Z</cp:lastPrinted>
  <dcterms:modified xsi:type="dcterms:W3CDTF">2025-10-16T07:32:57Z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B544B3309180D50974C0C768C954EF80_43</vt:lpwstr>
  </property>
  <property fmtid="{D5CDD505-2E9C-101B-9397-08002B2CF9AE}" pid="4" name="KSOTemplateDocerSaveRecord">
    <vt:lpwstr>eyJoZGlkIjoiMzNlMTg1ZmRhMjJhMzI1NTNjZGIzMDVkMDhlZjg2ZmMiLCJ1c2VySWQiOiI2MTM2Nzk1NDkifQ==</vt:lpwstr>
  </property>
</Properties>
</file>