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JJZB-WJ-2025034-1</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val="en-US" w:eastAsia="zh-CN"/>
        </w:rPr>
        <w:t>福州职业技术学院基于</w:t>
      </w:r>
      <w:r>
        <w:rPr>
          <w:rFonts w:hint="eastAsia" w:hAnsi="宋体"/>
          <w:b/>
          <w:color w:val="auto"/>
          <w:sz w:val="32"/>
          <w:szCs w:val="32"/>
          <w:highlight w:val="none"/>
          <w:lang w:eastAsia="zh-CN"/>
        </w:rPr>
        <w:t>智慧农业环境监测与智能灌溉物联网系统的虚拟仿真实验系统采购项目（</w:t>
      </w:r>
      <w:r>
        <w:rPr>
          <w:rFonts w:hint="eastAsia" w:hAnsi="宋体"/>
          <w:b/>
          <w:color w:val="auto"/>
          <w:sz w:val="32"/>
          <w:szCs w:val="32"/>
          <w:highlight w:val="none"/>
          <w:lang w:val="en-US" w:eastAsia="zh-CN"/>
        </w:rPr>
        <w:t>二次</w:t>
      </w:r>
      <w:r>
        <w:rPr>
          <w:rFonts w:hint="eastAsia" w:hAnsi="宋体"/>
          <w:b/>
          <w:color w:val="auto"/>
          <w:sz w:val="32"/>
          <w:szCs w:val="32"/>
          <w:highlight w:val="none"/>
          <w:lang w:eastAsia="zh-CN"/>
        </w:rPr>
        <w:t>）</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eastAsia="宋体" w:cs="宋体"/>
          <w:b/>
          <w:bCs/>
          <w:color w:val="auto"/>
          <w:kern w:val="0"/>
          <w:sz w:val="24"/>
          <w:highlight w:val="none"/>
          <w:u w:val="single"/>
        </w:rPr>
        <w:t>福州职业技术学院基于智慧农业环境监测与智能灌溉物联网系统的虚拟仿真实验系统采购项目（二次）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JJZB-WJ-2025034-1</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val="0"/>
          <w:bCs w:val="0"/>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eastAsia="宋体" w:cs="宋体"/>
          <w:b/>
          <w:bCs/>
          <w:color w:val="auto"/>
          <w:kern w:val="0"/>
          <w:sz w:val="24"/>
          <w:highlight w:val="none"/>
          <w:u w:val="single"/>
        </w:rPr>
        <w:t>福州职业技术学院基于智慧农业环境监测与智能灌溉物联网系统的虚拟仿真实验系统采购项目（二次）</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日11:00:00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 xml:space="preserve">邓盈 15959001508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3628D8B1">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30567034"/>
      <w:bookmarkStart w:id="4" w:name="_Toc346300367"/>
      <w:bookmarkStart w:id="5" w:name="_Toc327948617"/>
      <w:bookmarkStart w:id="6" w:name="_Toc347060296"/>
      <w:r>
        <w:rPr>
          <w:rFonts w:hint="eastAsia" w:ascii="宋体" w:hAnsi="宋体" w:cs="宋体"/>
          <w:b/>
          <w:color w:val="auto"/>
          <w:sz w:val="24"/>
          <w:szCs w:val="24"/>
          <w:highlight w:val="none"/>
        </w:rPr>
        <w:t>一、项目概述</w:t>
      </w:r>
      <w:bookmarkEnd w:id="1"/>
      <w:bookmarkEnd w:id="2"/>
    </w:p>
    <w:p w14:paraId="0A3C5EDD">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智慧农业环境监测与智能灌溉物联网系统”系福州职业技术学院横向科研项目，本次需采购一套虚拟仿真实验系统，采购要求服务商①根据采购人提供的开发要求，开发该系统相应的模块。②与硬件匹配的软件的研发。</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2236"/>
        <w:gridCol w:w="927"/>
        <w:gridCol w:w="1787"/>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基于智慧农业环境监测与智能灌溉物联网系统的虚拟仿真实验系统</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自签订合同之日起15日内交付完成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95000.00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：系统研发费、</w:t>
      </w:r>
      <w:r>
        <w:rPr>
          <w:rFonts w:hint="eastAsia" w:ascii="宋体" w:hAnsi="宋体" w:cs="宋体"/>
          <w:color w:val="auto"/>
          <w:kern w:val="0"/>
          <w:sz w:val="24"/>
          <w:szCs w:val="24"/>
          <w:highlight w:val="none"/>
          <w:lang w:val="en-US" w:eastAsia="zh-CN" w:bidi="ar-SA"/>
        </w:rPr>
        <w:t>安装调试费、培训</w:t>
      </w:r>
      <w:r>
        <w:rPr>
          <w:rFonts w:hint="eastAsia" w:ascii="宋体" w:hAnsi="宋体" w:eastAsia="宋体" w:cs="宋体"/>
          <w:color w:val="auto"/>
          <w:kern w:val="0"/>
          <w:sz w:val="24"/>
          <w:szCs w:val="24"/>
          <w:highlight w:val="none"/>
          <w:lang w:val="en-US" w:eastAsia="zh-CN" w:bidi="ar-SA"/>
        </w:rPr>
        <w:t>费、系统维护费、税费</w:t>
      </w:r>
      <w:r>
        <w:rPr>
          <w:rFonts w:hint="eastAsia" w:ascii="宋体" w:hAnsi="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5"/>
        <w:gridCol w:w="1253"/>
        <w:gridCol w:w="4884"/>
        <w:gridCol w:w="551"/>
        <w:gridCol w:w="612"/>
        <w:gridCol w:w="760"/>
        <w:gridCol w:w="854"/>
      </w:tblGrid>
      <w:tr w14:paraId="0176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5" w:type="dxa"/>
            <w:vAlign w:val="center"/>
          </w:tcPr>
          <w:p w14:paraId="0ADCF9F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序号</w:t>
            </w:r>
          </w:p>
        </w:tc>
        <w:tc>
          <w:tcPr>
            <w:tcW w:w="1253" w:type="dxa"/>
            <w:vAlign w:val="center"/>
          </w:tcPr>
          <w:p w14:paraId="5239E99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服务项目</w:t>
            </w:r>
          </w:p>
        </w:tc>
        <w:tc>
          <w:tcPr>
            <w:tcW w:w="4884" w:type="dxa"/>
            <w:vAlign w:val="center"/>
          </w:tcPr>
          <w:p w14:paraId="4233A2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服务内容</w:t>
            </w:r>
          </w:p>
        </w:tc>
        <w:tc>
          <w:tcPr>
            <w:tcW w:w="551" w:type="dxa"/>
            <w:vAlign w:val="center"/>
          </w:tcPr>
          <w:p w14:paraId="5719DA0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数量</w:t>
            </w:r>
          </w:p>
        </w:tc>
        <w:tc>
          <w:tcPr>
            <w:tcW w:w="612" w:type="dxa"/>
            <w:vAlign w:val="center"/>
          </w:tcPr>
          <w:p w14:paraId="48C196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单位</w:t>
            </w:r>
          </w:p>
        </w:tc>
        <w:tc>
          <w:tcPr>
            <w:tcW w:w="760" w:type="dxa"/>
            <w:vAlign w:val="center"/>
          </w:tcPr>
          <w:p w14:paraId="5D2B511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单价最高限价（元）</w:t>
            </w:r>
          </w:p>
        </w:tc>
        <w:tc>
          <w:tcPr>
            <w:tcW w:w="854" w:type="dxa"/>
            <w:vAlign w:val="center"/>
          </w:tcPr>
          <w:p w14:paraId="0AA2838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总价最高限价（元）</w:t>
            </w:r>
          </w:p>
        </w:tc>
      </w:tr>
      <w:tr w14:paraId="65F4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5" w:type="dxa"/>
            <w:vAlign w:val="center"/>
          </w:tcPr>
          <w:p w14:paraId="52F04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53" w:type="dxa"/>
            <w:vAlign w:val="center"/>
          </w:tcPr>
          <w:p w14:paraId="7D739E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虚拟仿真基础软件</w:t>
            </w:r>
          </w:p>
        </w:tc>
        <w:tc>
          <w:tcPr>
            <w:tcW w:w="4884" w:type="dxa"/>
            <w:vAlign w:val="center"/>
          </w:tcPr>
          <w:p w14:paraId="12754C1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登录界面开发：支持师生账号登录及角色权限区分（管理员/教师/学生）；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课前预习测验：设计10道选择题（涵盖传感器原理、系统架构、灌溉决策逻辑），测验结果同步至实验报告；</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核心实验模块：包含环境感知层部署、数据传输层配置、应用层智能决策三个可交互模块，支持流程优化调整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系统架构虚拟拆装：支持拖拽操作搭建感知层-传输层-应用层连接关系并验证合理性</w:t>
            </w:r>
            <w:r>
              <w:rPr>
                <w:rFonts w:hint="eastAsia" w:asciiTheme="minorEastAsia" w:hAnsiTheme="minorEastAsia" w:eastAsiaTheme="minorEastAsia" w:cstheme="minorEastAsia"/>
                <w:sz w:val="24"/>
                <w:szCs w:val="24"/>
                <w:lang w:eastAsia="zh-CN"/>
              </w:rPr>
              <w:t>；</w:t>
            </w:r>
          </w:p>
          <w:p w14:paraId="0AF1C0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sz w:val="24"/>
                <w:szCs w:val="24"/>
                <w:lang w:val="en-US" w:eastAsia="zh-CN"/>
              </w:rPr>
              <w:t>支持农业生产全场景三维建模，包含温室、大田、果园等典型环境，模型精度不低于0.1m，植被生长过程动态模拟帧率≥30fps；</w:t>
            </w:r>
          </w:p>
          <w:p w14:paraId="5DE6698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6、</w:t>
            </w:r>
            <w:r>
              <w:rPr>
                <w:rFonts w:hint="eastAsia" w:asciiTheme="minorEastAsia" w:hAnsiTheme="minorEastAsia" w:eastAsiaTheme="minorEastAsia" w:cstheme="minorEastAsia"/>
                <w:sz w:val="24"/>
                <w:szCs w:val="24"/>
                <w:lang w:val="en-US" w:eastAsia="zh-CN"/>
              </w:rPr>
              <w:t>集成物理引擎，实现土壤水分渗透、作物根系生长等真实物理效应模拟，误差率≤5%；</w:t>
            </w:r>
          </w:p>
          <w:p w14:paraId="172FE9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7、</w:t>
            </w:r>
            <w:r>
              <w:rPr>
                <w:rFonts w:hint="eastAsia" w:asciiTheme="minorEastAsia" w:hAnsiTheme="minorEastAsia" w:eastAsiaTheme="minorEastAsia" w:cstheme="minorEastAsia"/>
                <w:sz w:val="24"/>
                <w:szCs w:val="24"/>
                <w:lang w:val="en-US" w:eastAsia="zh-CN"/>
              </w:rPr>
              <w:t>提供Python/Java二次开发接口，支持实验流程自定义编辑，兼容主流教学管理平台（如Blackboard、Moodle）；</w:t>
            </w:r>
          </w:p>
          <w:p w14:paraId="578C2F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8、</w:t>
            </w:r>
            <w:r>
              <w:rPr>
                <w:rFonts w:hint="eastAsia" w:asciiTheme="minorEastAsia" w:hAnsiTheme="minorEastAsia" w:eastAsiaTheme="minorEastAsia" w:cstheme="minorEastAsia"/>
                <w:sz w:val="24"/>
                <w:szCs w:val="24"/>
                <w:lang w:val="en-US" w:eastAsia="zh-CN"/>
              </w:rPr>
              <w:t>提供本地化部署服务，含服务器环境配置、数据库优化及系统集成，部署周期≤7个工作日；</w:t>
            </w:r>
          </w:p>
          <w:p w14:paraId="45ADC1C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9、</w:t>
            </w:r>
            <w:r>
              <w:rPr>
                <w:rFonts w:hint="eastAsia" w:asciiTheme="minorEastAsia" w:hAnsiTheme="minorEastAsia" w:eastAsiaTheme="minorEastAsia" w:cstheme="minorEastAsia"/>
                <w:sz w:val="24"/>
                <w:szCs w:val="24"/>
                <w:lang w:val="en-US" w:eastAsia="zh-CN"/>
              </w:rPr>
              <w:t>每年2次软件功能升级，包含新作物模型（如水稻、番茄）及实验案例库更新；</w:t>
            </w:r>
          </w:p>
          <w:p w14:paraId="75DFADF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10、</w:t>
            </w:r>
            <w:r>
              <w:rPr>
                <w:rFonts w:hint="eastAsia" w:asciiTheme="minorEastAsia" w:hAnsiTheme="minorEastAsia" w:eastAsiaTheme="minorEastAsia" w:cstheme="minorEastAsia"/>
                <w:sz w:val="24"/>
                <w:szCs w:val="24"/>
                <w:lang w:val="en-US" w:eastAsia="zh-CN"/>
              </w:rPr>
              <w:t>7×24小时技术支持，远程故障响应≤2小时，现场服务≤24小时到场；</w:t>
            </w:r>
          </w:p>
          <w:p w14:paraId="22945E4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11、</w:t>
            </w:r>
            <w:r>
              <w:rPr>
                <w:rFonts w:hint="eastAsia" w:asciiTheme="minorEastAsia" w:hAnsiTheme="minorEastAsia" w:eastAsiaTheme="minorEastAsia" w:cstheme="minorEastAsia"/>
                <w:sz w:val="24"/>
                <w:szCs w:val="24"/>
                <w:lang w:val="en-US" w:eastAsia="zh-CN"/>
              </w:rPr>
              <w:t>相关程序和模型要提供与交付一致的源代码和模型；</w:t>
            </w:r>
          </w:p>
          <w:p w14:paraId="5CF6B41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12、</w:t>
            </w:r>
            <w:r>
              <w:rPr>
                <w:rFonts w:hint="eastAsia" w:asciiTheme="minorEastAsia" w:hAnsiTheme="minorEastAsia" w:eastAsiaTheme="minorEastAsia" w:cstheme="minorEastAsia"/>
                <w:sz w:val="24"/>
                <w:szCs w:val="24"/>
                <w:lang w:val="en-US" w:eastAsia="zh-CN"/>
              </w:rPr>
              <w:t>指标：场景加载时间≤10秒，并发用户数≥50，年度故障率≤0.5%。</w:t>
            </w:r>
          </w:p>
        </w:tc>
        <w:tc>
          <w:tcPr>
            <w:tcW w:w="551" w:type="dxa"/>
            <w:vAlign w:val="center"/>
          </w:tcPr>
          <w:p w14:paraId="68767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12" w:type="dxa"/>
            <w:vAlign w:val="center"/>
          </w:tcPr>
          <w:p w14:paraId="5F5010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60" w:type="dxa"/>
            <w:vAlign w:val="center"/>
          </w:tcPr>
          <w:p w14:paraId="25F27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45</w:t>
            </w:r>
            <w:r>
              <w:rPr>
                <w:rFonts w:hint="eastAsia" w:asciiTheme="minorEastAsia" w:hAnsiTheme="minorEastAsia" w:eastAsiaTheme="minorEastAsia" w:cstheme="minorEastAsia"/>
                <w:sz w:val="24"/>
                <w:szCs w:val="24"/>
              </w:rPr>
              <w:t>000</w:t>
            </w:r>
          </w:p>
        </w:tc>
        <w:tc>
          <w:tcPr>
            <w:tcW w:w="854" w:type="dxa"/>
            <w:vAlign w:val="center"/>
          </w:tcPr>
          <w:p w14:paraId="35308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45</w:t>
            </w:r>
            <w:r>
              <w:rPr>
                <w:rFonts w:hint="eastAsia" w:asciiTheme="minorEastAsia" w:hAnsiTheme="minorEastAsia" w:eastAsiaTheme="minorEastAsia" w:cstheme="minorEastAsia"/>
                <w:sz w:val="24"/>
                <w:szCs w:val="24"/>
              </w:rPr>
              <w:t>000</w:t>
            </w:r>
          </w:p>
        </w:tc>
      </w:tr>
      <w:tr w14:paraId="2E7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5" w:type="dxa"/>
            <w:vAlign w:val="center"/>
          </w:tcPr>
          <w:p w14:paraId="71210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53" w:type="dxa"/>
            <w:vAlign w:val="center"/>
          </w:tcPr>
          <w:p w14:paraId="555B2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传感器与传输实验模块</w:t>
            </w:r>
          </w:p>
        </w:tc>
        <w:tc>
          <w:tcPr>
            <w:tcW w:w="4884" w:type="dxa"/>
            <w:vAlign w:val="center"/>
          </w:tcPr>
          <w:p w14:paraId="060F838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lang w:val="en-US" w:eastAsia="zh-CN"/>
              </w:rPr>
              <w:t>模拟传感器类型覆盖温湿度、光照、土壤墒情、CO₂浓度等，测量范围及精度符合农业行业标准（如温湿度±0.5℃/±3%RH），采</w:t>
            </w:r>
            <w:r>
              <w:rPr>
                <w:rFonts w:hint="eastAsia" w:asciiTheme="minorEastAsia" w:hAnsiTheme="minorEastAsia" w:eastAsiaTheme="minorEastAsia" w:cstheme="minorEastAsia"/>
                <w:sz w:val="24"/>
                <w:szCs w:val="24"/>
              </w:rPr>
              <w:t>样频率1-60秒可调及采样精度（16位AD）设置；</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多协议传输仿真开发，</w:t>
            </w:r>
            <w:r>
              <w:rPr>
                <w:rFonts w:hint="eastAsia" w:asciiTheme="minorEastAsia" w:hAnsiTheme="minorEastAsia" w:eastAsiaTheme="minorEastAsia" w:cstheme="minorEastAsia"/>
                <w:sz w:val="24"/>
                <w:szCs w:val="24"/>
                <w:lang w:eastAsia="zh-CN"/>
              </w:rPr>
              <w:t>支持LoRa、NB-IoT、Wi-Fi等多种传输协议仿真，可配置信号强度、传输延迟、丢包率等参数；</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rPr>
              <w:t>模拟5G/WIFI双模式（5G延迟≤20ms/WIFI延迟≤10ms），支持IP地址配置及数据丢包率观测；</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异常报警处理：</w:t>
            </w:r>
            <w:r>
              <w:rPr>
                <w:rFonts w:hint="eastAsia" w:asciiTheme="minorEastAsia" w:hAnsiTheme="minorEastAsia" w:eastAsiaTheme="minorEastAsia" w:cstheme="minorEastAsia"/>
                <w:sz w:val="24"/>
                <w:szCs w:val="24"/>
                <w:lang w:val="en-US" w:eastAsia="zh-CN"/>
              </w:rPr>
              <w:t>可设定各传感器阈值，依据阈值预警和远程调控设备，如</w:t>
            </w:r>
            <w:r>
              <w:rPr>
                <w:rFonts w:hint="eastAsia" w:asciiTheme="minorEastAsia" w:hAnsiTheme="minorEastAsia" w:eastAsiaTheme="minorEastAsia" w:cstheme="minorEastAsia"/>
                <w:sz w:val="24"/>
                <w:szCs w:val="24"/>
              </w:rPr>
              <w:t>土壤湿度＜20%触发短信/APP报警，支持“远程启动备用灌溉”或“现场排查传感器”操作</w:t>
            </w:r>
            <w:r>
              <w:rPr>
                <w:rFonts w:hint="eastAsia" w:asciiTheme="minorEastAsia" w:hAnsiTheme="minorEastAsia" w:eastAsiaTheme="minorEastAsia" w:cstheme="minorEastAsia"/>
                <w:sz w:val="24"/>
                <w:szCs w:val="24"/>
                <w:lang w:eastAsia="zh-CN"/>
              </w:rPr>
              <w:t>；</w:t>
            </w:r>
          </w:p>
          <w:p w14:paraId="1FFD1E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4、提供传感器故障注入功能（如短路、漂移），故障注入成功率100%；</w:t>
            </w:r>
          </w:p>
          <w:p w14:paraId="322442B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5、提供传感器原理虚拟实验手册（含10个以上典型实验案例）及教师指导用书；</w:t>
            </w:r>
          </w:p>
          <w:p w14:paraId="4767FA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6、系统交付后3个月内开展2次技术培训，覆盖实验设计、数据采集及故障排查；</w:t>
            </w:r>
          </w:p>
          <w:p w14:paraId="4FFCEE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7、提供2年免费传感器仿真模型升级服务，新增传感器类型响应时间≤15个工作日；</w:t>
            </w:r>
          </w:p>
          <w:p w14:paraId="06CD8F9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8、相关程序需要提供与交付一致的源代码；</w:t>
            </w:r>
          </w:p>
          <w:p w14:paraId="2B3DDE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9、指标：协议仿真准确率≥98%，数据更新延迟≤1秒。</w:t>
            </w:r>
          </w:p>
        </w:tc>
        <w:tc>
          <w:tcPr>
            <w:tcW w:w="551" w:type="dxa"/>
            <w:vAlign w:val="center"/>
          </w:tcPr>
          <w:p w14:paraId="51495A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12" w:type="dxa"/>
            <w:vAlign w:val="center"/>
          </w:tcPr>
          <w:p w14:paraId="71207A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60" w:type="dxa"/>
            <w:vAlign w:val="center"/>
          </w:tcPr>
          <w:p w14:paraId="603085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000</w:t>
            </w:r>
          </w:p>
        </w:tc>
        <w:tc>
          <w:tcPr>
            <w:tcW w:w="854" w:type="dxa"/>
            <w:vAlign w:val="center"/>
          </w:tcPr>
          <w:p w14:paraId="28732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000</w:t>
            </w:r>
          </w:p>
        </w:tc>
      </w:tr>
      <w:tr w14:paraId="6542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5" w:type="dxa"/>
            <w:vAlign w:val="center"/>
          </w:tcPr>
          <w:p w14:paraId="4D6B5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53" w:type="dxa"/>
            <w:vAlign w:val="center"/>
          </w:tcPr>
          <w:p w14:paraId="4A939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数据可视化与决策模块</w:t>
            </w:r>
          </w:p>
        </w:tc>
        <w:tc>
          <w:tcPr>
            <w:tcW w:w="4884" w:type="dxa"/>
            <w:vAlign w:val="center"/>
          </w:tcPr>
          <w:p w14:paraId="0F6D66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智能灌溉决策生成：加载番茄作物需水模型，输入土壤湿度、光照强度生成灌溉时长及流量，支持阈值手动调整；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数据可视化对比：导入历史数据生成对比图表，计算RMSD值分析区域差异；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天气集成功能：接入实时天气预报，降水概率＞60%时自动延迟灌溉</w:t>
            </w:r>
            <w:r>
              <w:rPr>
                <w:rFonts w:hint="eastAsia" w:asciiTheme="minorEastAsia" w:hAnsiTheme="minorEastAsia" w:eastAsiaTheme="minorEastAsia" w:cstheme="minorEastAsia"/>
                <w:sz w:val="24"/>
                <w:szCs w:val="24"/>
                <w:lang w:eastAsia="zh-CN"/>
              </w:rPr>
              <w:t>；</w:t>
            </w:r>
          </w:p>
          <w:p w14:paraId="4615FA5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4、可视化界面开发，支持实时数据仪表盘展示，包含环境参数趋势图、传感器状态热力图、灌溉策略对比分析等，图表响应时间≤1秒；</w:t>
            </w:r>
          </w:p>
          <w:p w14:paraId="401B1B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5、预测模型训练，集成机器学习预测模型，可基于历史数据预测作物生长周期（误差率≤8%）及灌溉需求（准确率≥90%）；</w:t>
            </w:r>
          </w:p>
          <w:p w14:paraId="21495A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6、提供多维度数据查询与导出功能，支持Excel、CSV格式，数据存储容量≥100GB，历史数据保存期限≥5年；</w:t>
            </w:r>
          </w:p>
          <w:p w14:paraId="565450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7、定制开发3套决策支持算法模型（基于神经网络、随机森林等），提供模型训练数据集及参数调优工具；</w:t>
            </w:r>
          </w:p>
          <w:p w14:paraId="66B030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8、数据中台搭建，协助用户搭建本地数据中台，实现与学校现有农业实验数据库对接；</w:t>
            </w:r>
          </w:p>
          <w:p w14:paraId="6F4FD7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9、提供1年数据分析师驻场服务，协助开展学生实验数据统计与教学效果评估；</w:t>
            </w:r>
          </w:p>
          <w:p w14:paraId="05ADE8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10、相关程序需要提供与交付一致的源代码；</w:t>
            </w:r>
          </w:p>
          <w:p w14:paraId="3941D8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11、数据查询响应时间≤2秒，模型预测准确率≥90%，数据存储可靠性≥99.99%。</w:t>
            </w:r>
          </w:p>
        </w:tc>
        <w:tc>
          <w:tcPr>
            <w:tcW w:w="551" w:type="dxa"/>
            <w:vAlign w:val="center"/>
          </w:tcPr>
          <w:p w14:paraId="1B0E6F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12" w:type="dxa"/>
            <w:vAlign w:val="center"/>
          </w:tcPr>
          <w:p w14:paraId="31DA3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60" w:type="dxa"/>
            <w:vAlign w:val="center"/>
          </w:tcPr>
          <w:p w14:paraId="0152AF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000</w:t>
            </w:r>
          </w:p>
        </w:tc>
        <w:tc>
          <w:tcPr>
            <w:tcW w:w="854" w:type="dxa"/>
            <w:vAlign w:val="center"/>
          </w:tcPr>
          <w:p w14:paraId="68DC7F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000</w:t>
            </w:r>
          </w:p>
        </w:tc>
      </w:tr>
      <w:tr w14:paraId="1DB1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05" w:type="dxa"/>
            <w:gridSpan w:val="6"/>
            <w:vAlign w:val="center"/>
          </w:tcPr>
          <w:p w14:paraId="19487E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合计</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元</w:t>
            </w:r>
            <w:r>
              <w:rPr>
                <w:rFonts w:hint="eastAsia" w:asciiTheme="minorEastAsia" w:hAnsiTheme="minorEastAsia" w:eastAsiaTheme="minorEastAsia" w:cstheme="minorEastAsia"/>
                <w:b/>
                <w:sz w:val="24"/>
                <w:szCs w:val="24"/>
                <w:lang w:eastAsia="zh-CN"/>
              </w:rPr>
              <w:t>）</w:t>
            </w:r>
          </w:p>
        </w:tc>
        <w:tc>
          <w:tcPr>
            <w:tcW w:w="854" w:type="dxa"/>
            <w:vAlign w:val="center"/>
          </w:tcPr>
          <w:p w14:paraId="0591A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bCs/>
                <w:sz w:val="24"/>
                <w:szCs w:val="24"/>
                <w:lang w:val="en-US" w:eastAsia="zh-CN"/>
              </w:rPr>
              <w:t>95</w:t>
            </w:r>
            <w:r>
              <w:rPr>
                <w:rFonts w:hint="eastAsia" w:asciiTheme="minorEastAsia" w:hAnsiTheme="minorEastAsia" w:eastAsiaTheme="minorEastAsia" w:cstheme="minorEastAsia"/>
                <w:b w:val="0"/>
                <w:bCs/>
                <w:sz w:val="24"/>
                <w:szCs w:val="24"/>
              </w:rPr>
              <w:t>000</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自签订合同之日起15日内交付完成</w:t>
      </w:r>
      <w:r>
        <w:rPr>
          <w:rFonts w:hint="eastAsia" w:ascii="宋体" w:hAnsi="宋体" w:eastAsia="宋体" w:cs="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经采购人验收合格后，</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个工作日内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凭收讫验收凭证和验收合格文件等材料以转账方式向</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rPr>
        <w:t>供应商一次性支付</w:t>
      </w:r>
      <w:r>
        <w:rPr>
          <w:rFonts w:hint="eastAsia" w:ascii="宋体" w:hAnsi="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的</w:t>
      </w:r>
      <w:r>
        <w:rPr>
          <w:rFonts w:hint="eastAsia" w:ascii="宋体" w:hAnsi="宋体" w:cs="宋体"/>
          <w:b w:val="0"/>
          <w:bCs w:val="0"/>
          <w:color w:val="auto"/>
          <w:sz w:val="24"/>
          <w:szCs w:val="24"/>
          <w:highlight w:val="none"/>
          <w:lang w:val="en-US" w:eastAsia="zh-CN"/>
        </w:rPr>
        <w:t>合同</w:t>
      </w:r>
      <w:r>
        <w:rPr>
          <w:rFonts w:hint="eastAsia" w:ascii="宋体" w:hAnsi="宋体" w:eastAsia="宋体" w:cs="宋体"/>
          <w:b w:val="0"/>
          <w:bCs w:val="0"/>
          <w:color w:val="auto"/>
          <w:sz w:val="24"/>
          <w:szCs w:val="24"/>
          <w:highlight w:val="none"/>
        </w:rPr>
        <w:t>价款</w:t>
      </w:r>
      <w:r>
        <w:rPr>
          <w:rFonts w:hint="eastAsia" w:ascii="宋体" w:hAnsi="宋体" w:eastAsia="宋体" w:cs="宋体"/>
          <w:b w:val="0"/>
          <w:bCs w:val="0"/>
          <w:color w:val="auto"/>
          <w:kern w:val="0"/>
          <w:sz w:val="24"/>
          <w:szCs w:val="24"/>
          <w:highlight w:val="none"/>
          <w:lang w:val="en-US" w:eastAsia="zh-CN" w:bidi="ar-SA"/>
        </w:rPr>
        <w:t>。</w:t>
      </w:r>
    </w:p>
    <w:p w14:paraId="240C18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06DEF4E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8、验收要求：</w:t>
      </w:r>
    </w:p>
    <w:p w14:paraId="2EA83260">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按照</w:t>
      </w:r>
      <w:r>
        <w:rPr>
          <w:rFonts w:hint="eastAsia" w:ascii="宋体" w:hAnsi="宋体"/>
          <w:color w:val="000000" w:themeColor="text1"/>
          <w:sz w:val="24"/>
          <w:lang w:val="en-US" w:eastAsia="zh-CN"/>
          <w14:textFill>
            <w14:solidFill>
              <w14:schemeClr w14:val="tx1"/>
            </w14:solidFill>
          </w14:textFill>
        </w:rPr>
        <w:t>网上竞价文件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的响应文件和本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约定的服务内容及质量要求按次组织对</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所提供服务进行验收，并根据验收结果支付服务费用。具体如下：</w:t>
      </w:r>
    </w:p>
    <w:p w14:paraId="326D6990">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8.1</w:t>
      </w:r>
      <w:r>
        <w:rPr>
          <w:rFonts w:hint="eastAsia" w:ascii="宋体" w:hAnsi="宋体"/>
          <w:color w:val="000000" w:themeColor="text1"/>
          <w:sz w:val="24"/>
          <w:lang w:eastAsia="zh-CN"/>
          <w14:textFill>
            <w14:solidFill>
              <w14:schemeClr w14:val="tx1"/>
            </w14:solidFill>
          </w14:textFill>
        </w:rPr>
        <w:t>按照</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约定的服务内容、服务要求和服务效果进行验收。</w:t>
      </w:r>
    </w:p>
    <w:p w14:paraId="75D62691">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8.2采购人</w:t>
      </w:r>
      <w:r>
        <w:rPr>
          <w:rFonts w:hint="eastAsia" w:ascii="宋体" w:hAnsi="宋体"/>
          <w:color w:val="000000" w:themeColor="text1"/>
          <w:sz w:val="24"/>
          <w:lang w:eastAsia="zh-CN"/>
          <w14:textFill>
            <w14:solidFill>
              <w14:schemeClr w14:val="tx1"/>
            </w14:solidFill>
          </w14:textFill>
        </w:rPr>
        <w:t>在收到</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的验收申请后</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lang w:eastAsia="zh-CN"/>
          <w14:textFill>
            <w14:solidFill>
              <w14:schemeClr w14:val="tx1"/>
            </w14:solidFill>
          </w14:textFill>
        </w:rPr>
        <w:t>个工作日内，</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和</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共同进行验收。</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将按照采购</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规定的技术参数标准和服务要求组织对</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履约情况进行验收。验收结果经双方确认后，双方代表必须按规定的验收单上的项目填好验收结果并签名盖章。</w:t>
      </w:r>
    </w:p>
    <w:p w14:paraId="6A2F92D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9、</w:t>
      </w:r>
      <w:r>
        <w:rPr>
          <w:rFonts w:hint="eastAsia" w:ascii="宋体" w:hAnsi="宋体" w:eastAsia="宋体" w:cs="宋体"/>
          <w:b/>
          <w:bCs/>
          <w:kern w:val="2"/>
          <w:sz w:val="24"/>
          <w:szCs w:val="24"/>
          <w:lang w:val="en-US" w:eastAsia="zh-CN" w:bidi="ar-SA"/>
        </w:rPr>
        <w:t>售后服务：</w:t>
      </w:r>
    </w:p>
    <w:p w14:paraId="7F8CEBA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本项目免费保修期为1年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自</w:t>
      </w:r>
      <w:r>
        <w:rPr>
          <w:rFonts w:hint="eastAsia" w:ascii="宋体" w:hAnsi="宋体"/>
          <w:color w:val="000000" w:themeColor="text1"/>
          <w:sz w:val="24"/>
          <w14:textFill>
            <w14:solidFill>
              <w14:schemeClr w14:val="tx1"/>
            </w14:solidFill>
          </w14:textFill>
        </w:rPr>
        <w:t>验收合格之日起算）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成交</w:t>
      </w:r>
      <w:r>
        <w:rPr>
          <w:rFonts w:hint="eastAsia" w:ascii="宋体" w:hAnsi="宋体"/>
          <w:color w:val="000000" w:themeColor="text1"/>
          <w:sz w:val="24"/>
          <w14:textFill>
            <w14:solidFill>
              <w14:schemeClr w14:val="tx1"/>
            </w14:solidFill>
          </w14:textFill>
        </w:rPr>
        <w:t>供应商在质保期内接到故障通知后24小时内响应，并在24小时内到达现场免费负责</w:t>
      </w:r>
      <w:r>
        <w:rPr>
          <w:rFonts w:hint="eastAsia" w:ascii="宋体" w:hAnsi="宋体"/>
          <w:color w:val="000000" w:themeColor="text1"/>
          <w:sz w:val="24"/>
          <w:lang w:val="en-US" w:eastAsia="zh-CN"/>
          <w14:textFill>
            <w14:solidFill>
              <w14:schemeClr w14:val="tx1"/>
            </w14:solidFill>
          </w14:textFill>
        </w:rPr>
        <w:t>调试</w:t>
      </w:r>
      <w:r>
        <w:rPr>
          <w:rFonts w:hint="eastAsia" w:ascii="宋体" w:hAnsi="宋体"/>
          <w:color w:val="000000" w:themeColor="text1"/>
          <w:sz w:val="24"/>
          <w14:textFill>
            <w14:solidFill>
              <w14:schemeClr w14:val="tx1"/>
            </w14:solidFill>
          </w14:textFill>
        </w:rPr>
        <w:t>。质保期外重复出现质保期内出现的故障属免费保修范围。</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10、</w:t>
      </w:r>
      <w:r>
        <w:rPr>
          <w:rFonts w:hint="eastAsia" w:ascii="宋体" w:hAnsi="宋体" w:eastAsia="宋体" w:cs="宋体"/>
          <w:b/>
          <w:bCs/>
          <w:kern w:val="2"/>
          <w:sz w:val="24"/>
          <w:szCs w:val="24"/>
          <w:lang w:val="en-US" w:eastAsia="zh-CN" w:bidi="ar-SA"/>
        </w:rPr>
        <w:t>知识产权：</w:t>
      </w:r>
    </w:p>
    <w:p w14:paraId="3E33277F">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10.1</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须保障采购人在使用该</w:t>
      </w:r>
      <w:r>
        <w:rPr>
          <w:rFonts w:hint="eastAsia" w:ascii="宋体" w:hAnsi="宋体"/>
          <w:color w:val="000000" w:themeColor="text1"/>
          <w:sz w:val="24"/>
          <w:lang w:val="en-US" w:eastAsia="zh-CN"/>
          <w14:textFill>
            <w14:solidFill>
              <w14:schemeClr w14:val="tx1"/>
            </w14:solidFill>
          </w14:textFill>
        </w:rPr>
        <w:t>系统</w:t>
      </w:r>
      <w:r>
        <w:rPr>
          <w:rFonts w:hint="eastAsia" w:ascii="宋体" w:hAnsi="宋体"/>
          <w:color w:val="000000" w:themeColor="text1"/>
          <w:sz w:val="24"/>
          <w14:textFill>
            <w14:solidFill>
              <w14:schemeClr w14:val="tx1"/>
            </w14:solidFill>
          </w14:textFill>
        </w:rPr>
        <w:t>或其任何一部分时不受到第三方关于侵犯专利权、商标权或工业设计权等知识产权的指控。如果任何第三方提出侵权指控与采购人无关，</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须与第三方交涉并承担可能发生的责任与一切费用；如采购人因此而遭致损失的，</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应赔偿该损失。</w:t>
      </w:r>
    </w:p>
    <w:p w14:paraId="501514FA">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10.2</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为执行本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而提供的技术资料、软件，采购人有权进行使用，</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不得主张任何费用。</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1</w:t>
      </w:r>
      <w:r>
        <w:rPr>
          <w:rFonts w:hint="eastAsia" w:ascii="宋体" w:hAnsi="宋体" w:eastAsia="宋体" w:cs="宋体"/>
          <w:b/>
          <w:bCs/>
          <w:kern w:val="2"/>
          <w:sz w:val="24"/>
          <w:szCs w:val="24"/>
          <w:lang w:val="en-US" w:eastAsia="zh-CN" w:bidi="ar-SA"/>
        </w:rPr>
        <w:t>、产权与风险转移：</w:t>
      </w:r>
    </w:p>
    <w:p w14:paraId="5EBD223D">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项目</w:t>
      </w:r>
      <w:r>
        <w:rPr>
          <w:rFonts w:hint="eastAsia" w:ascii="宋体" w:hAnsi="宋体" w:eastAsia="宋体"/>
          <w:color w:val="000000" w:themeColor="text1"/>
          <w:sz w:val="24"/>
          <w14:textFill>
            <w14:solidFill>
              <w14:schemeClr w14:val="tx1"/>
            </w14:solidFill>
          </w14:textFill>
        </w:rPr>
        <w:t>的产权与风险转移遵守如下约定：</w:t>
      </w:r>
    </w:p>
    <w:p w14:paraId="01994C14">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lang w:val="en-US" w:eastAsia="zh-CN"/>
          <w14:textFill>
            <w14:solidFill>
              <w14:schemeClr w14:val="tx1"/>
            </w14:solidFill>
          </w14:textFill>
        </w:rPr>
        <w:t>.1系统</w:t>
      </w:r>
      <w:r>
        <w:rPr>
          <w:rFonts w:hint="eastAsia" w:ascii="宋体" w:hAnsi="宋体" w:eastAsia="宋体"/>
          <w:color w:val="000000" w:themeColor="text1"/>
          <w:sz w:val="24"/>
          <w14:textFill>
            <w14:solidFill>
              <w14:schemeClr w14:val="tx1"/>
            </w14:solidFill>
          </w14:textFill>
        </w:rPr>
        <w:t>的产权以及损坏、灭失的风险在</w:t>
      </w:r>
      <w:r>
        <w:rPr>
          <w:rFonts w:hint="eastAsia" w:ascii="宋体" w:hAnsi="宋体" w:eastAsia="宋体"/>
          <w:color w:val="000000" w:themeColor="text1"/>
          <w:sz w:val="24"/>
          <w:lang w:val="en-US" w:eastAsia="zh-CN"/>
          <w14:textFill>
            <w14:solidFill>
              <w14:schemeClr w14:val="tx1"/>
            </w14:solidFill>
          </w14:textFill>
        </w:rPr>
        <w:t>系统</w:t>
      </w:r>
      <w:r>
        <w:rPr>
          <w:rFonts w:hint="eastAsia" w:ascii="宋体" w:hAnsi="宋体" w:eastAsia="宋体"/>
          <w:color w:val="000000" w:themeColor="text1"/>
          <w:sz w:val="24"/>
          <w14:textFill>
            <w14:solidFill>
              <w14:schemeClr w14:val="tx1"/>
            </w14:solidFill>
          </w14:textFill>
        </w:rPr>
        <w:t>通过验收并交付使用前归属于</w:t>
      </w:r>
      <w:r>
        <w:rPr>
          <w:rFonts w:hint="eastAsia" w:ascii="宋体" w:hAnsi="宋体" w:eastAsia="宋体"/>
          <w:color w:val="000000" w:themeColor="text1"/>
          <w:sz w:val="24"/>
          <w:lang w:eastAsia="zh-CN"/>
          <w14:textFill>
            <w14:solidFill>
              <w14:schemeClr w14:val="tx1"/>
            </w14:solidFill>
          </w14:textFill>
        </w:rPr>
        <w:t>成交供应商</w:t>
      </w:r>
      <w:r>
        <w:rPr>
          <w:rFonts w:hint="eastAsia" w:ascii="宋体" w:hAnsi="宋体" w:eastAsia="宋体"/>
          <w:color w:val="000000" w:themeColor="text1"/>
          <w:sz w:val="24"/>
          <w14:textFill>
            <w14:solidFill>
              <w14:schemeClr w14:val="tx1"/>
            </w14:solidFill>
          </w14:textFill>
        </w:rPr>
        <w:t>，在</w:t>
      </w:r>
      <w:r>
        <w:rPr>
          <w:rFonts w:hint="eastAsia" w:ascii="宋体" w:hAnsi="宋体" w:eastAsia="宋体"/>
          <w:color w:val="000000" w:themeColor="text1"/>
          <w:sz w:val="24"/>
          <w:lang w:val="en-US" w:eastAsia="zh-CN"/>
          <w14:textFill>
            <w14:solidFill>
              <w14:schemeClr w14:val="tx1"/>
            </w14:solidFill>
          </w14:textFill>
        </w:rPr>
        <w:t>系统</w:t>
      </w:r>
      <w:r>
        <w:rPr>
          <w:rFonts w:hint="eastAsia" w:ascii="宋体" w:hAnsi="宋体" w:eastAsia="宋体"/>
          <w:color w:val="000000" w:themeColor="text1"/>
          <w:sz w:val="24"/>
          <w14:textFill>
            <w14:solidFill>
              <w14:schemeClr w14:val="tx1"/>
            </w14:solidFill>
          </w14:textFill>
        </w:rPr>
        <w:t>通过验收并交付使用时起由</w:t>
      </w:r>
      <w:r>
        <w:rPr>
          <w:rFonts w:hint="eastAsia" w:ascii="宋体" w:hAnsi="宋体" w:eastAsia="宋体"/>
          <w:color w:val="000000" w:themeColor="text1"/>
          <w:sz w:val="24"/>
          <w:lang w:eastAsia="zh-CN"/>
          <w14:textFill>
            <w14:solidFill>
              <w14:schemeClr w14:val="tx1"/>
            </w14:solidFill>
          </w14:textFill>
        </w:rPr>
        <w:t>成交供应商</w:t>
      </w:r>
      <w:r>
        <w:rPr>
          <w:rFonts w:hint="eastAsia" w:ascii="宋体" w:hAnsi="宋体" w:eastAsia="宋体"/>
          <w:color w:val="000000" w:themeColor="text1"/>
          <w:sz w:val="24"/>
          <w14:textFill>
            <w14:solidFill>
              <w14:schemeClr w14:val="tx1"/>
            </w14:solidFill>
          </w14:textFill>
        </w:rPr>
        <w:t>转移至采购人。</w:t>
      </w:r>
    </w:p>
    <w:p w14:paraId="607E986D">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黑体" w:hAnsi="黑体" w:eastAsia="黑体" w:cs="黑体"/>
          <w:b/>
          <w:color w:val="000000" w:themeColor="text1"/>
          <w:sz w:val="28"/>
          <w:szCs w:val="28"/>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产权和风险的转移，不影响因</w:t>
      </w:r>
      <w:r>
        <w:rPr>
          <w:rFonts w:hint="eastAsia" w:ascii="宋体" w:hAnsi="宋体" w:eastAsia="宋体"/>
          <w:color w:val="000000" w:themeColor="text1"/>
          <w:sz w:val="24"/>
          <w:lang w:eastAsia="zh-CN"/>
          <w14:textFill>
            <w14:solidFill>
              <w14:schemeClr w14:val="tx1"/>
            </w14:solidFill>
          </w14:textFill>
        </w:rPr>
        <w:t>成交供应商</w:t>
      </w:r>
      <w:r>
        <w:rPr>
          <w:rFonts w:hint="eastAsia" w:ascii="宋体" w:hAnsi="宋体" w:eastAsia="宋体"/>
          <w:color w:val="000000" w:themeColor="text1"/>
          <w:sz w:val="24"/>
          <w14:textFill>
            <w14:solidFill>
              <w14:schemeClr w14:val="tx1"/>
            </w14:solidFill>
          </w14:textFill>
        </w:rPr>
        <w:t>履行义务不符合约定，采购人要求其承担违约责任的权利。</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、保密：</w:t>
      </w:r>
    </w:p>
    <w:p w14:paraId="7FF7A737">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12.1</w:t>
      </w:r>
      <w:r>
        <w:rPr>
          <w:rFonts w:hint="eastAsia" w:ascii="宋体" w:hAnsi="宋体"/>
          <w:sz w:val="24"/>
        </w:rPr>
        <w:t>未经采购人事先书面同意，</w:t>
      </w:r>
      <w:r>
        <w:rPr>
          <w:rFonts w:hint="eastAsia" w:ascii="宋体" w:hAnsi="宋体"/>
          <w:sz w:val="24"/>
          <w:lang w:eastAsia="zh-CN"/>
        </w:rPr>
        <w:t>成交供应商</w:t>
      </w:r>
      <w:r>
        <w:rPr>
          <w:rFonts w:hint="eastAsia" w:ascii="宋体" w:hAnsi="宋体"/>
          <w:sz w:val="24"/>
        </w:rPr>
        <w:t>不得将由采购人为本</w:t>
      </w:r>
      <w:r>
        <w:rPr>
          <w:rFonts w:hint="eastAsia" w:ascii="宋体" w:hAnsi="宋体"/>
          <w:sz w:val="24"/>
          <w:lang w:val="en-US" w:eastAsia="zh-CN"/>
        </w:rPr>
        <w:t>项目</w:t>
      </w:r>
      <w:r>
        <w:rPr>
          <w:rFonts w:hint="eastAsia" w:ascii="宋体" w:hAnsi="宋体"/>
          <w:sz w:val="24"/>
        </w:rPr>
        <w:t>提供的条文、规格、计划、资料提供给与本</w:t>
      </w:r>
      <w:r>
        <w:rPr>
          <w:rFonts w:hint="eastAsia" w:ascii="宋体" w:hAnsi="宋体"/>
          <w:sz w:val="24"/>
          <w:lang w:val="en-US" w:eastAsia="zh-CN"/>
        </w:rPr>
        <w:t>项目</w:t>
      </w:r>
      <w:r>
        <w:rPr>
          <w:rFonts w:hint="eastAsia" w:ascii="宋体" w:hAnsi="宋体"/>
          <w:sz w:val="24"/>
        </w:rPr>
        <w:t>无关的任何第三方，不得将其用于履行本</w:t>
      </w:r>
      <w:r>
        <w:rPr>
          <w:rFonts w:hint="eastAsia" w:ascii="宋体" w:hAnsi="宋体"/>
          <w:sz w:val="24"/>
          <w:lang w:val="en-US" w:eastAsia="zh-CN"/>
        </w:rPr>
        <w:t>项目</w:t>
      </w:r>
      <w:r>
        <w:rPr>
          <w:rFonts w:hint="eastAsia" w:ascii="宋体" w:hAnsi="宋体"/>
          <w:sz w:val="24"/>
        </w:rPr>
        <w:t>之外的其它用途。即使向与履行本</w:t>
      </w:r>
      <w:r>
        <w:rPr>
          <w:rFonts w:hint="eastAsia" w:ascii="宋体" w:hAnsi="宋体"/>
          <w:sz w:val="24"/>
          <w:lang w:val="en-US" w:eastAsia="zh-CN"/>
        </w:rPr>
        <w:t>项目</w:t>
      </w:r>
      <w:r>
        <w:rPr>
          <w:rFonts w:hint="eastAsia" w:ascii="宋体" w:hAnsi="宋体"/>
          <w:sz w:val="24"/>
        </w:rPr>
        <w:t>有关的人员提供，也应注意保密并限于履行</w:t>
      </w:r>
      <w:r>
        <w:rPr>
          <w:rFonts w:hint="eastAsia" w:ascii="宋体" w:hAnsi="宋体"/>
          <w:sz w:val="24"/>
          <w:lang w:val="en-US" w:eastAsia="zh-CN"/>
        </w:rPr>
        <w:t>项目</w:t>
      </w:r>
      <w:r>
        <w:rPr>
          <w:rFonts w:hint="eastAsia" w:ascii="宋体" w:hAnsi="宋体"/>
          <w:sz w:val="24"/>
        </w:rPr>
        <w:t>所必需的范围。</w:t>
      </w:r>
    </w:p>
    <w:p w14:paraId="084F9EC4">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12.2</w:t>
      </w:r>
      <w:r>
        <w:rPr>
          <w:rFonts w:hint="eastAsia" w:ascii="宋体" w:hAnsi="宋体"/>
          <w:sz w:val="24"/>
        </w:rPr>
        <w:t>除了</w:t>
      </w:r>
      <w:r>
        <w:rPr>
          <w:rFonts w:hint="eastAsia" w:ascii="宋体" w:hAnsi="宋体"/>
          <w:sz w:val="24"/>
          <w:lang w:val="en-US" w:eastAsia="zh-CN"/>
        </w:rPr>
        <w:t>项目</w:t>
      </w:r>
      <w:r>
        <w:rPr>
          <w:rFonts w:hint="eastAsia" w:ascii="宋体" w:hAnsi="宋体"/>
          <w:sz w:val="24"/>
        </w:rPr>
        <w:t>本身之外，上款所列举的任何物件均是采购人的财产。如果采购人有要求，</w:t>
      </w:r>
      <w:r>
        <w:rPr>
          <w:rFonts w:hint="eastAsia" w:ascii="宋体" w:hAnsi="宋体"/>
          <w:sz w:val="24"/>
          <w:lang w:eastAsia="zh-CN"/>
        </w:rPr>
        <w:t>成交供应商</w:t>
      </w:r>
      <w:r>
        <w:rPr>
          <w:rFonts w:hint="eastAsia" w:ascii="宋体" w:hAnsi="宋体"/>
          <w:sz w:val="24"/>
        </w:rPr>
        <w:t>在收到采购人的要求后10日内应将这些物件及全部复制件还给采购人，不得留存任何备份。</w:t>
      </w:r>
    </w:p>
    <w:p w14:paraId="59EDECB8">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sz w:val="24"/>
          <w:lang w:val="en-US" w:eastAsia="zh-CN"/>
        </w:rPr>
        <w:t>12.3</w:t>
      </w:r>
      <w:r>
        <w:rPr>
          <w:rFonts w:hint="eastAsia" w:ascii="宋体" w:hAnsi="宋体"/>
          <w:sz w:val="24"/>
          <w:lang w:eastAsia="zh-CN"/>
        </w:rPr>
        <w:t>成交供应商</w:t>
      </w:r>
      <w:r>
        <w:rPr>
          <w:rFonts w:hint="eastAsia" w:ascii="宋体" w:hAnsi="宋体"/>
          <w:sz w:val="24"/>
        </w:rPr>
        <w:t>违反本保密条款的，应支付</w:t>
      </w:r>
      <w:r>
        <w:rPr>
          <w:rFonts w:hint="eastAsia" w:ascii="宋体" w:hAnsi="宋体"/>
          <w:sz w:val="24"/>
          <w:lang w:val="en-US" w:eastAsia="zh-CN"/>
        </w:rPr>
        <w:t>项目</w:t>
      </w:r>
      <w:r>
        <w:rPr>
          <w:rFonts w:hint="eastAsia" w:ascii="宋体" w:hAnsi="宋体"/>
          <w:sz w:val="24"/>
        </w:rPr>
        <w:t>总金额</w:t>
      </w:r>
      <w:r>
        <w:rPr>
          <w:rFonts w:hint="eastAsia" w:ascii="宋体" w:hAnsi="宋体"/>
          <w:sz w:val="24"/>
          <w:lang w:val="en-US" w:eastAsia="zh-CN"/>
        </w:rPr>
        <w:t>10</w:t>
      </w:r>
      <w:r>
        <w:rPr>
          <w:rFonts w:hint="eastAsia" w:ascii="宋体" w:hAnsi="宋体"/>
          <w:sz w:val="24"/>
        </w:rPr>
        <w:t>%的违约金，并赔偿由此给采购人造成的任何损失。本条款在本</w:t>
      </w:r>
      <w:r>
        <w:rPr>
          <w:rFonts w:hint="eastAsia" w:ascii="宋体" w:hAnsi="宋体"/>
          <w:sz w:val="24"/>
          <w:lang w:val="en-US" w:eastAsia="zh-CN"/>
        </w:rPr>
        <w:t>项目</w:t>
      </w:r>
      <w:r>
        <w:rPr>
          <w:rFonts w:hint="eastAsia" w:ascii="宋体" w:hAnsi="宋体"/>
          <w:sz w:val="24"/>
        </w:rPr>
        <w:t>履行期间至履行结束后均有效。</w:t>
      </w:r>
    </w:p>
    <w:p w14:paraId="049DA6F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、违约责任：</w:t>
      </w:r>
    </w:p>
    <w:p w14:paraId="2C1957D7">
      <w:pPr>
        <w:tabs>
          <w:tab w:val="left" w:pos="0"/>
        </w:tabs>
        <w:adjustRightInd w:val="0"/>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除不可抗力因素外，如果</w:t>
      </w:r>
      <w:r>
        <w:rPr>
          <w:rFonts w:hint="eastAsia" w:ascii="宋体" w:hAnsi="宋体" w:eastAsia="宋体" w:cs="Times New Roman"/>
          <w:sz w:val="24"/>
          <w:lang w:eastAsia="zh-CN"/>
        </w:rPr>
        <w:t>成交供应商</w:t>
      </w:r>
      <w:r>
        <w:rPr>
          <w:rFonts w:hint="eastAsia" w:ascii="宋体" w:hAnsi="宋体" w:eastAsia="宋体" w:cs="Times New Roman"/>
          <w:sz w:val="24"/>
        </w:rPr>
        <w:t>不能按照</w:t>
      </w:r>
      <w:r>
        <w:rPr>
          <w:rFonts w:hint="eastAsia" w:ascii="宋体" w:hAnsi="宋体" w:eastAsia="宋体" w:cs="Times New Roman"/>
          <w:sz w:val="24"/>
          <w:lang w:val="en-US" w:eastAsia="zh-CN"/>
        </w:rPr>
        <w:t>项目</w:t>
      </w:r>
      <w:r>
        <w:rPr>
          <w:rFonts w:hint="eastAsia" w:ascii="宋体" w:hAnsi="宋体" w:eastAsia="宋体" w:cs="Times New Roman"/>
          <w:sz w:val="24"/>
        </w:rPr>
        <w:t>规定的时间交付和提供服务，应及时以书面形式将逾期的事实、可能逾期的时间和原因通知采购人。采购人收到</w:t>
      </w:r>
      <w:r>
        <w:rPr>
          <w:rFonts w:hint="eastAsia" w:ascii="宋体" w:hAnsi="宋体" w:eastAsia="宋体" w:cs="Times New Roman"/>
          <w:sz w:val="24"/>
          <w:lang w:eastAsia="zh-CN"/>
        </w:rPr>
        <w:t>成交供应商</w:t>
      </w:r>
      <w:r>
        <w:rPr>
          <w:rFonts w:hint="eastAsia" w:ascii="宋体" w:hAnsi="宋体" w:eastAsia="宋体" w:cs="Times New Roman"/>
          <w:sz w:val="24"/>
        </w:rPr>
        <w:t>通知后，将尽快作出评价，决定是否同意延长交货期及收取逾期赔偿费，逾期赔偿费的金额为采购人所遭受的所有损失。采购人在不影响</w:t>
      </w:r>
      <w:r>
        <w:rPr>
          <w:rFonts w:hint="eastAsia" w:ascii="宋体" w:hAnsi="宋体" w:eastAsia="宋体" w:cs="Times New Roman"/>
          <w:sz w:val="24"/>
          <w:lang w:val="en-US" w:eastAsia="zh-CN"/>
        </w:rPr>
        <w:t>项目要求</w:t>
      </w:r>
      <w:r>
        <w:rPr>
          <w:rFonts w:hint="eastAsia" w:ascii="宋体" w:hAnsi="宋体" w:eastAsia="宋体" w:cs="Times New Roman"/>
          <w:sz w:val="24"/>
        </w:rPr>
        <w:t>的其它补救措施情况下，可从</w:t>
      </w:r>
      <w:r>
        <w:rPr>
          <w:rFonts w:hint="eastAsia" w:ascii="宋体" w:hAnsi="宋体" w:eastAsia="宋体" w:cs="Times New Roman"/>
          <w:sz w:val="24"/>
          <w:lang w:val="en-US" w:eastAsia="zh-CN"/>
        </w:rPr>
        <w:t>项目</w:t>
      </w:r>
      <w:r>
        <w:rPr>
          <w:rFonts w:hint="eastAsia" w:ascii="宋体" w:hAnsi="宋体" w:eastAsia="宋体" w:cs="Times New Roman"/>
          <w:sz w:val="24"/>
        </w:rPr>
        <w:t>未付款中扣除逾期违约金，违约金按未交付货物价款的 2％/</w:t>
      </w:r>
      <w:r>
        <w:rPr>
          <w:rFonts w:hint="eastAsia" w:ascii="宋体" w:hAnsi="宋体" w:eastAsia="宋体" w:cs="Times New Roman"/>
          <w:sz w:val="24"/>
          <w:lang w:val="en-US" w:eastAsia="zh-CN"/>
        </w:rPr>
        <w:t>日</w:t>
      </w:r>
      <w:r>
        <w:rPr>
          <w:rFonts w:hint="eastAsia" w:ascii="宋体" w:hAnsi="宋体" w:eastAsia="宋体" w:cs="Times New Roman"/>
          <w:sz w:val="24"/>
        </w:rPr>
        <w:t>计算，逾期期限一旦达到</w:t>
      </w:r>
      <w:r>
        <w:rPr>
          <w:rFonts w:hint="eastAsia" w:ascii="宋体" w:hAnsi="宋体" w:eastAsia="宋体" w:cs="Times New Roman"/>
          <w:sz w:val="24"/>
          <w:lang w:val="en-US" w:eastAsia="zh-CN"/>
        </w:rPr>
        <w:t>10日</w:t>
      </w:r>
      <w:r>
        <w:rPr>
          <w:rFonts w:hint="eastAsia" w:ascii="宋体" w:hAnsi="宋体" w:eastAsia="宋体" w:cs="Times New Roman"/>
          <w:sz w:val="24"/>
        </w:rPr>
        <w:t>，采购人有权</w:t>
      </w:r>
      <w:r>
        <w:rPr>
          <w:rFonts w:hint="eastAsia" w:ascii="宋体" w:hAnsi="宋体" w:eastAsia="宋体" w:cs="Times New Roman"/>
          <w:sz w:val="24"/>
          <w:lang w:val="en-US" w:eastAsia="zh-CN"/>
        </w:rPr>
        <w:t>作废项目</w:t>
      </w:r>
      <w:r>
        <w:rPr>
          <w:rFonts w:hint="eastAsia" w:ascii="宋体" w:hAnsi="宋体" w:eastAsia="宋体" w:cs="Times New Roman"/>
          <w:sz w:val="24"/>
        </w:rPr>
        <w:t>，且</w:t>
      </w:r>
      <w:r>
        <w:rPr>
          <w:rFonts w:hint="eastAsia" w:ascii="宋体" w:hAnsi="宋体" w:eastAsia="宋体" w:cs="Times New Roman"/>
          <w:sz w:val="24"/>
          <w:lang w:eastAsia="zh-CN"/>
        </w:rPr>
        <w:t>成交供应商</w:t>
      </w:r>
      <w:r>
        <w:rPr>
          <w:rFonts w:hint="eastAsia" w:ascii="宋体" w:hAnsi="宋体" w:eastAsia="宋体" w:cs="Times New Roman"/>
          <w:sz w:val="24"/>
        </w:rPr>
        <w:t>仍应按约定支付违约金。违约金的支付不影响采购人向</w:t>
      </w:r>
      <w:r>
        <w:rPr>
          <w:rFonts w:hint="eastAsia" w:ascii="宋体" w:hAnsi="宋体" w:eastAsia="宋体" w:cs="Times New Roman"/>
          <w:sz w:val="24"/>
          <w:lang w:eastAsia="zh-CN"/>
        </w:rPr>
        <w:t>成交供应商</w:t>
      </w:r>
      <w:r>
        <w:rPr>
          <w:rFonts w:hint="eastAsia" w:ascii="宋体" w:hAnsi="宋体" w:eastAsia="宋体" w:cs="Times New Roman"/>
          <w:sz w:val="24"/>
        </w:rPr>
        <w:t>要求损害赔偿。</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0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w:t>
      </w:r>
      <w:r>
        <w:rPr>
          <w:rFonts w:hint="eastAsia" w:ascii="宋体" w:hAnsi="宋体" w:cs="Times New Roman"/>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纠纷处理方式：</w:t>
      </w:r>
    </w:p>
    <w:p w14:paraId="4D75D70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4</w:t>
      </w: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双方协商解决。</w:t>
      </w:r>
    </w:p>
    <w:p w14:paraId="6F58478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4</w:t>
      </w: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若协商解决不成，则通过下列途径解决：向人民法院提起诉讼。具体如下：向采</w:t>
      </w:r>
    </w:p>
    <w:p w14:paraId="6A4B18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宋体" w:hAnsi="宋体"/>
          <w:b/>
          <w:bCs/>
          <w:color w:val="000000" w:themeColor="text1"/>
          <w:sz w:val="24"/>
          <w:lang w:val="en-US" w:eastAsia="zh-CN"/>
          <w14:textFill>
            <w14:solidFill>
              <w14:schemeClr w14:val="tx1"/>
            </w14:solidFill>
          </w14:textFill>
        </w:rPr>
      </w:pPr>
      <w:r>
        <w:rPr>
          <w:rFonts w:hint="default" w:ascii="宋体" w:hAnsi="宋体" w:eastAsia="宋体" w:cs="宋体"/>
          <w:b w:val="0"/>
          <w:bCs w:val="0"/>
          <w:sz w:val="24"/>
          <w:szCs w:val="24"/>
          <w:lang w:val="en-US" w:eastAsia="zh-CN"/>
        </w:rPr>
        <w:t>购</w:t>
      </w:r>
      <w:r>
        <w:rPr>
          <w:rFonts w:hint="eastAsia" w:cs="宋体"/>
          <w:b w:val="0"/>
          <w:bCs w:val="0"/>
          <w:sz w:val="24"/>
          <w:szCs w:val="24"/>
          <w:lang w:val="en-US" w:eastAsia="zh-CN"/>
        </w:rPr>
        <w:t>人所在地</w:t>
      </w:r>
      <w:r>
        <w:rPr>
          <w:rFonts w:hint="default" w:ascii="宋体" w:hAnsi="宋体" w:eastAsia="宋体" w:cs="宋体"/>
          <w:b w:val="0"/>
          <w:bCs w:val="0"/>
          <w:sz w:val="24"/>
          <w:szCs w:val="24"/>
          <w:lang w:val="en-US" w:eastAsia="zh-CN"/>
        </w:rPr>
        <w:t>人民法院提起。</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eastAsia="宋体"/>
          <w:szCs w:val="24"/>
          <w:lang w:eastAsia="zh-CN"/>
        </w:rPr>
      </w:pPr>
      <w:r>
        <w:rPr>
          <w:rFonts w:hint="eastAsia" w:cs="宋体"/>
          <w:b/>
          <w:bCs/>
          <w:szCs w:val="24"/>
          <w:lang w:val="en-US" w:eastAsia="zh-CN"/>
        </w:rPr>
        <w:t>15</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5</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FECC45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596"/>
        <w:gridCol w:w="1677"/>
        <w:gridCol w:w="1631"/>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服务项目</w:t>
            </w:r>
          </w:p>
        </w:tc>
        <w:tc>
          <w:tcPr>
            <w:tcW w:w="1596"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77"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单价</w:t>
            </w:r>
          </w:p>
        </w:tc>
        <w:tc>
          <w:tcPr>
            <w:tcW w:w="1631" w:type="dxa"/>
            <w:vAlign w:val="center"/>
          </w:tcPr>
          <w:p w14:paraId="268DAFF1">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总价</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p>
        </w:tc>
        <w:tc>
          <w:tcPr>
            <w:tcW w:w="3152"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r>
              <w:rPr>
                <w:rFonts w:hint="eastAsia" w:asciiTheme="minorEastAsia" w:hAnsiTheme="minorEastAsia" w:eastAsiaTheme="minorEastAsia" w:cstheme="minorEastAsia"/>
                <w:sz w:val="24"/>
                <w:szCs w:val="24"/>
              </w:rPr>
              <w:t>虚拟仿真基础软件</w:t>
            </w:r>
          </w:p>
        </w:tc>
        <w:tc>
          <w:tcPr>
            <w:tcW w:w="1596"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1套</w:t>
            </w:r>
          </w:p>
        </w:tc>
        <w:tc>
          <w:tcPr>
            <w:tcW w:w="1677" w:type="dxa"/>
            <w:shd w:val="clear" w:color="auto" w:fill="auto"/>
            <w:vAlign w:val="center"/>
          </w:tcPr>
          <w:p w14:paraId="1D4726F4">
            <w:pPr>
              <w:widowControl/>
              <w:spacing w:line="240" w:lineRule="auto"/>
              <w:jc w:val="left"/>
              <w:rPr>
                <w:rFonts w:ascii="宋体" w:hAnsi="宋体"/>
                <w:color w:val="auto"/>
                <w:sz w:val="24"/>
                <w:highlight w:val="none"/>
              </w:rPr>
            </w:pPr>
          </w:p>
        </w:tc>
        <w:tc>
          <w:tcPr>
            <w:tcW w:w="1631"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3152"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r>
              <w:rPr>
                <w:rFonts w:hint="eastAsia" w:asciiTheme="minorEastAsia" w:hAnsiTheme="minorEastAsia" w:eastAsiaTheme="minorEastAsia" w:cstheme="minorEastAsia"/>
                <w:sz w:val="24"/>
                <w:szCs w:val="24"/>
              </w:rPr>
              <w:t>传感器与传输实验模块</w:t>
            </w:r>
          </w:p>
        </w:tc>
        <w:tc>
          <w:tcPr>
            <w:tcW w:w="1596"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1套</w:t>
            </w:r>
          </w:p>
        </w:tc>
        <w:tc>
          <w:tcPr>
            <w:tcW w:w="1677" w:type="dxa"/>
            <w:shd w:val="clear" w:color="auto" w:fill="auto"/>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631"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674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60" w:type="dxa"/>
            <w:vMerge w:val="continue"/>
            <w:vAlign w:val="center"/>
          </w:tcPr>
          <w:p w14:paraId="2E438E31">
            <w:pPr>
              <w:widowControl/>
              <w:spacing w:line="240" w:lineRule="auto"/>
              <w:jc w:val="left"/>
            </w:pPr>
          </w:p>
        </w:tc>
        <w:tc>
          <w:tcPr>
            <w:tcW w:w="719" w:type="dxa"/>
            <w:vAlign w:val="center"/>
          </w:tcPr>
          <w:p w14:paraId="79853A8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3152" w:type="dxa"/>
            <w:vAlign w:val="center"/>
          </w:tcPr>
          <w:p w14:paraId="12BAB9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r>
              <w:rPr>
                <w:rFonts w:hint="eastAsia" w:asciiTheme="minorEastAsia" w:hAnsiTheme="minorEastAsia" w:eastAsiaTheme="minorEastAsia" w:cstheme="minorEastAsia"/>
                <w:sz w:val="24"/>
                <w:szCs w:val="24"/>
              </w:rPr>
              <w:t>数据可视化与决策模块</w:t>
            </w:r>
          </w:p>
        </w:tc>
        <w:tc>
          <w:tcPr>
            <w:tcW w:w="1596" w:type="dxa"/>
            <w:shd w:val="clear" w:color="auto" w:fill="auto"/>
            <w:vAlign w:val="center"/>
          </w:tcPr>
          <w:p w14:paraId="4F8E1A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1套</w:t>
            </w:r>
          </w:p>
        </w:tc>
        <w:tc>
          <w:tcPr>
            <w:tcW w:w="1677" w:type="dxa"/>
            <w:shd w:val="clear" w:color="auto" w:fill="auto"/>
            <w:vAlign w:val="center"/>
          </w:tcPr>
          <w:p w14:paraId="71956988">
            <w:pPr>
              <w:widowControl/>
              <w:spacing w:line="240" w:lineRule="auto"/>
              <w:jc w:val="left"/>
              <w:rPr>
                <w:rFonts w:hint="eastAsia" w:ascii="宋体" w:hAnsi="宋体" w:eastAsia="宋体"/>
                <w:color w:val="auto"/>
                <w:sz w:val="24"/>
                <w:highlight w:val="none"/>
                <w:lang w:val="en-US" w:eastAsia="zh-CN"/>
              </w:rPr>
            </w:pPr>
          </w:p>
        </w:tc>
        <w:tc>
          <w:tcPr>
            <w:tcW w:w="1631" w:type="dxa"/>
            <w:vAlign w:val="center"/>
          </w:tcPr>
          <w:p w14:paraId="6FABCFBD">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004" w:type="dxa"/>
            <w:gridSpan w:val="5"/>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631"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313145F1">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p w14:paraId="306A05C1">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DE284B"/>
    <w:rsid w:val="02165140"/>
    <w:rsid w:val="02BC2FB5"/>
    <w:rsid w:val="03511AD9"/>
    <w:rsid w:val="03ED3BD7"/>
    <w:rsid w:val="045E36B4"/>
    <w:rsid w:val="046E6DD0"/>
    <w:rsid w:val="047E5946"/>
    <w:rsid w:val="04A254A5"/>
    <w:rsid w:val="04C91366"/>
    <w:rsid w:val="05017C52"/>
    <w:rsid w:val="050A167C"/>
    <w:rsid w:val="052E1A28"/>
    <w:rsid w:val="056025B0"/>
    <w:rsid w:val="05A14692"/>
    <w:rsid w:val="05B64224"/>
    <w:rsid w:val="061C715B"/>
    <w:rsid w:val="0696261C"/>
    <w:rsid w:val="069E7A64"/>
    <w:rsid w:val="06C453DB"/>
    <w:rsid w:val="07702EBF"/>
    <w:rsid w:val="08293E73"/>
    <w:rsid w:val="0972111F"/>
    <w:rsid w:val="09A06EBC"/>
    <w:rsid w:val="0A482682"/>
    <w:rsid w:val="0AF75143"/>
    <w:rsid w:val="0B043CFB"/>
    <w:rsid w:val="0CA2647A"/>
    <w:rsid w:val="0CFB142B"/>
    <w:rsid w:val="0D2167C4"/>
    <w:rsid w:val="0D2D3085"/>
    <w:rsid w:val="0DAA7832"/>
    <w:rsid w:val="0DD979BE"/>
    <w:rsid w:val="0E0D1416"/>
    <w:rsid w:val="0E715E49"/>
    <w:rsid w:val="0FBD7DE5"/>
    <w:rsid w:val="10362DC0"/>
    <w:rsid w:val="10CE3388"/>
    <w:rsid w:val="10E42CCD"/>
    <w:rsid w:val="11790FDD"/>
    <w:rsid w:val="11AD4ADB"/>
    <w:rsid w:val="126445BB"/>
    <w:rsid w:val="142E65C5"/>
    <w:rsid w:val="14DD66A2"/>
    <w:rsid w:val="15512530"/>
    <w:rsid w:val="164556E1"/>
    <w:rsid w:val="16810234"/>
    <w:rsid w:val="17254BB9"/>
    <w:rsid w:val="175D4ED0"/>
    <w:rsid w:val="17A728DB"/>
    <w:rsid w:val="18971295"/>
    <w:rsid w:val="192817FA"/>
    <w:rsid w:val="199476C8"/>
    <w:rsid w:val="19C44ADF"/>
    <w:rsid w:val="19F043F2"/>
    <w:rsid w:val="1A0F193E"/>
    <w:rsid w:val="1A512FD2"/>
    <w:rsid w:val="1AA3690C"/>
    <w:rsid w:val="1AC71843"/>
    <w:rsid w:val="1AD364FF"/>
    <w:rsid w:val="1ADE3486"/>
    <w:rsid w:val="1B08700D"/>
    <w:rsid w:val="1B261D69"/>
    <w:rsid w:val="1BF43CB2"/>
    <w:rsid w:val="1C292FC0"/>
    <w:rsid w:val="1C7D1E5D"/>
    <w:rsid w:val="1DAA6E61"/>
    <w:rsid w:val="1E0F3C2B"/>
    <w:rsid w:val="1E2C09AB"/>
    <w:rsid w:val="1E897F61"/>
    <w:rsid w:val="1F1C42EA"/>
    <w:rsid w:val="1F686EFF"/>
    <w:rsid w:val="1F87181B"/>
    <w:rsid w:val="1FB37FF3"/>
    <w:rsid w:val="21150CB8"/>
    <w:rsid w:val="213B2764"/>
    <w:rsid w:val="21657A51"/>
    <w:rsid w:val="227710FC"/>
    <w:rsid w:val="22F17F9F"/>
    <w:rsid w:val="23B73EA6"/>
    <w:rsid w:val="23F4427C"/>
    <w:rsid w:val="25284930"/>
    <w:rsid w:val="25333A88"/>
    <w:rsid w:val="25776FB2"/>
    <w:rsid w:val="26B047DC"/>
    <w:rsid w:val="26BD4622"/>
    <w:rsid w:val="26C54B2C"/>
    <w:rsid w:val="27BC5F2F"/>
    <w:rsid w:val="27C42B43"/>
    <w:rsid w:val="28C13F2B"/>
    <w:rsid w:val="29034246"/>
    <w:rsid w:val="292A5ED6"/>
    <w:rsid w:val="29CA4207"/>
    <w:rsid w:val="2A604980"/>
    <w:rsid w:val="2A727AC6"/>
    <w:rsid w:val="2B5318E1"/>
    <w:rsid w:val="2BCE7FDF"/>
    <w:rsid w:val="2BF06F1D"/>
    <w:rsid w:val="2C226920"/>
    <w:rsid w:val="2CC80594"/>
    <w:rsid w:val="2D1F6544"/>
    <w:rsid w:val="2D484F7D"/>
    <w:rsid w:val="2D8017AD"/>
    <w:rsid w:val="2DDE2D69"/>
    <w:rsid w:val="2E1E7D97"/>
    <w:rsid w:val="2EBE2586"/>
    <w:rsid w:val="2ECC1930"/>
    <w:rsid w:val="2F1B20CB"/>
    <w:rsid w:val="2F4F4B8D"/>
    <w:rsid w:val="31144260"/>
    <w:rsid w:val="312D39F9"/>
    <w:rsid w:val="31A35457"/>
    <w:rsid w:val="31B67ACD"/>
    <w:rsid w:val="334D7ECB"/>
    <w:rsid w:val="336F02F9"/>
    <w:rsid w:val="33F45566"/>
    <w:rsid w:val="34160775"/>
    <w:rsid w:val="3444677B"/>
    <w:rsid w:val="34EF6DE8"/>
    <w:rsid w:val="3503072C"/>
    <w:rsid w:val="356F257B"/>
    <w:rsid w:val="35786F8C"/>
    <w:rsid w:val="3591710A"/>
    <w:rsid w:val="35E30AE8"/>
    <w:rsid w:val="36F5483C"/>
    <w:rsid w:val="389425B0"/>
    <w:rsid w:val="39137979"/>
    <w:rsid w:val="39524D90"/>
    <w:rsid w:val="3A9D764F"/>
    <w:rsid w:val="3AAE2471"/>
    <w:rsid w:val="3BC31FF0"/>
    <w:rsid w:val="3C271A02"/>
    <w:rsid w:val="3C65673D"/>
    <w:rsid w:val="3CE851D3"/>
    <w:rsid w:val="3D035E9B"/>
    <w:rsid w:val="3D50551B"/>
    <w:rsid w:val="3D6C7658"/>
    <w:rsid w:val="3DC2628F"/>
    <w:rsid w:val="3DD60AE2"/>
    <w:rsid w:val="3E5C0069"/>
    <w:rsid w:val="3E797AD2"/>
    <w:rsid w:val="3E7A2DAA"/>
    <w:rsid w:val="3E8B1175"/>
    <w:rsid w:val="3EB412B6"/>
    <w:rsid w:val="3F9E5AC2"/>
    <w:rsid w:val="3FAC28BB"/>
    <w:rsid w:val="3FB97B2C"/>
    <w:rsid w:val="40181D19"/>
    <w:rsid w:val="40884CA9"/>
    <w:rsid w:val="40BD676E"/>
    <w:rsid w:val="417E75E8"/>
    <w:rsid w:val="41910115"/>
    <w:rsid w:val="41D908F9"/>
    <w:rsid w:val="423D1534"/>
    <w:rsid w:val="438B3EDE"/>
    <w:rsid w:val="44261222"/>
    <w:rsid w:val="4495014D"/>
    <w:rsid w:val="44AD0C2A"/>
    <w:rsid w:val="44F31851"/>
    <w:rsid w:val="45AA573E"/>
    <w:rsid w:val="45B275F5"/>
    <w:rsid w:val="46BC33FE"/>
    <w:rsid w:val="46EE7477"/>
    <w:rsid w:val="47B656EC"/>
    <w:rsid w:val="47BC0C07"/>
    <w:rsid w:val="47EB4726"/>
    <w:rsid w:val="486D6713"/>
    <w:rsid w:val="489259CA"/>
    <w:rsid w:val="498B3956"/>
    <w:rsid w:val="4A4E42C3"/>
    <w:rsid w:val="4BB0030E"/>
    <w:rsid w:val="4BC53306"/>
    <w:rsid w:val="4C15710C"/>
    <w:rsid w:val="4C2E5FB6"/>
    <w:rsid w:val="4C63431C"/>
    <w:rsid w:val="4C9444D5"/>
    <w:rsid w:val="4CE2174D"/>
    <w:rsid w:val="4D505935"/>
    <w:rsid w:val="4D72372E"/>
    <w:rsid w:val="4E141911"/>
    <w:rsid w:val="4E370E84"/>
    <w:rsid w:val="4EBB778D"/>
    <w:rsid w:val="4F7C19ED"/>
    <w:rsid w:val="4FB142EA"/>
    <w:rsid w:val="4FE70DC0"/>
    <w:rsid w:val="506863A4"/>
    <w:rsid w:val="507D6E7C"/>
    <w:rsid w:val="508F27C5"/>
    <w:rsid w:val="50F55D99"/>
    <w:rsid w:val="513814F5"/>
    <w:rsid w:val="513B5867"/>
    <w:rsid w:val="51497716"/>
    <w:rsid w:val="51A30093"/>
    <w:rsid w:val="520457CB"/>
    <w:rsid w:val="52080924"/>
    <w:rsid w:val="522C2C59"/>
    <w:rsid w:val="539774E2"/>
    <w:rsid w:val="53C953AC"/>
    <w:rsid w:val="541A03F5"/>
    <w:rsid w:val="54C5216A"/>
    <w:rsid w:val="54D577A2"/>
    <w:rsid w:val="5527238A"/>
    <w:rsid w:val="55357439"/>
    <w:rsid w:val="56436A5D"/>
    <w:rsid w:val="571B7CCD"/>
    <w:rsid w:val="57286DB3"/>
    <w:rsid w:val="57315742"/>
    <w:rsid w:val="589A572D"/>
    <w:rsid w:val="589B7196"/>
    <w:rsid w:val="58C92DB8"/>
    <w:rsid w:val="590271D1"/>
    <w:rsid w:val="594608FB"/>
    <w:rsid w:val="5A2C4216"/>
    <w:rsid w:val="5A3433AD"/>
    <w:rsid w:val="5A550A07"/>
    <w:rsid w:val="5B761B8D"/>
    <w:rsid w:val="5BC000BF"/>
    <w:rsid w:val="5C983B6D"/>
    <w:rsid w:val="5D01514B"/>
    <w:rsid w:val="5DBA0782"/>
    <w:rsid w:val="5F2D396D"/>
    <w:rsid w:val="60D04179"/>
    <w:rsid w:val="60E47381"/>
    <w:rsid w:val="61C7729B"/>
    <w:rsid w:val="62641034"/>
    <w:rsid w:val="6374691F"/>
    <w:rsid w:val="63BA7B71"/>
    <w:rsid w:val="63BC0257"/>
    <w:rsid w:val="643B2EFE"/>
    <w:rsid w:val="644665A5"/>
    <w:rsid w:val="64CE267E"/>
    <w:rsid w:val="65005919"/>
    <w:rsid w:val="657B396B"/>
    <w:rsid w:val="65A070D1"/>
    <w:rsid w:val="665A019F"/>
    <w:rsid w:val="6672068F"/>
    <w:rsid w:val="66AD46B9"/>
    <w:rsid w:val="670C6B88"/>
    <w:rsid w:val="67BF44A6"/>
    <w:rsid w:val="67FB5AE2"/>
    <w:rsid w:val="68975621"/>
    <w:rsid w:val="689F61CC"/>
    <w:rsid w:val="68AC5DD9"/>
    <w:rsid w:val="68C926A3"/>
    <w:rsid w:val="692857E0"/>
    <w:rsid w:val="69935D1A"/>
    <w:rsid w:val="69E70454"/>
    <w:rsid w:val="6A6C5C24"/>
    <w:rsid w:val="6A832AFB"/>
    <w:rsid w:val="6B5E6742"/>
    <w:rsid w:val="6CD40DBF"/>
    <w:rsid w:val="6D0D24E0"/>
    <w:rsid w:val="6D4B5988"/>
    <w:rsid w:val="6DA050EC"/>
    <w:rsid w:val="6DA35EF3"/>
    <w:rsid w:val="6DFD21E5"/>
    <w:rsid w:val="6E0440FB"/>
    <w:rsid w:val="6E2830B5"/>
    <w:rsid w:val="6ED44ED9"/>
    <w:rsid w:val="70030FCD"/>
    <w:rsid w:val="703B20B6"/>
    <w:rsid w:val="724A1DFC"/>
    <w:rsid w:val="72845AC6"/>
    <w:rsid w:val="72916AD9"/>
    <w:rsid w:val="72F8490A"/>
    <w:rsid w:val="735F739A"/>
    <w:rsid w:val="73D239B1"/>
    <w:rsid w:val="73ED08CD"/>
    <w:rsid w:val="73F676A0"/>
    <w:rsid w:val="74120755"/>
    <w:rsid w:val="745C662B"/>
    <w:rsid w:val="74B308B5"/>
    <w:rsid w:val="75247769"/>
    <w:rsid w:val="753F0E71"/>
    <w:rsid w:val="75577977"/>
    <w:rsid w:val="75645785"/>
    <w:rsid w:val="75716A92"/>
    <w:rsid w:val="758D2516"/>
    <w:rsid w:val="7599235F"/>
    <w:rsid w:val="75AE2AF5"/>
    <w:rsid w:val="75BD7F3E"/>
    <w:rsid w:val="782C5454"/>
    <w:rsid w:val="7858402F"/>
    <w:rsid w:val="78D50787"/>
    <w:rsid w:val="78EE5436"/>
    <w:rsid w:val="79B17807"/>
    <w:rsid w:val="79E20998"/>
    <w:rsid w:val="79FE2EB5"/>
    <w:rsid w:val="7AE26EA4"/>
    <w:rsid w:val="7B8F04A8"/>
    <w:rsid w:val="7C95557C"/>
    <w:rsid w:val="7D3A4490"/>
    <w:rsid w:val="7D3F0A9F"/>
    <w:rsid w:val="7DC41D70"/>
    <w:rsid w:val="7EA10B41"/>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10313</Words>
  <Characters>10914</Characters>
  <Lines>186</Lines>
  <Paragraphs>52</Paragraphs>
  <TotalTime>5</TotalTime>
  <ScaleCrop>false</ScaleCrop>
  <LinksUpToDate>false</LinksUpToDate>
  <CharactersWithSpaces>11300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2026-01-26T01:37:57Z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