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A1B6">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84"/>
          <w:szCs w:val="84"/>
          <w:highlight w:val="none"/>
          <w:lang w:eastAsia="zh-CN"/>
        </w:rPr>
        <w:t>福建省司法厅机关饮用桶装水定点采购服务项目（</w:t>
      </w:r>
      <w:r>
        <w:rPr>
          <w:rFonts w:hint="eastAsia" w:ascii="宋体" w:hAnsi="宋体" w:cs="宋体"/>
          <w:b/>
          <w:color w:val="auto"/>
          <w:sz w:val="84"/>
          <w:szCs w:val="84"/>
          <w:highlight w:val="none"/>
          <w:lang w:val="en-US" w:eastAsia="zh-CN"/>
        </w:rPr>
        <w:t>二次</w:t>
      </w:r>
      <w:r>
        <w:rPr>
          <w:rFonts w:hint="eastAsia" w:ascii="宋体" w:hAnsi="宋体" w:cs="宋体"/>
          <w:b/>
          <w:color w:val="auto"/>
          <w:sz w:val="84"/>
          <w:szCs w:val="84"/>
          <w:highlight w:val="none"/>
          <w:lang w:eastAsia="zh-CN"/>
        </w:rPr>
        <w:t>）</w:t>
      </w:r>
      <w:r>
        <w:rPr>
          <w:rFonts w:hint="eastAsia" w:ascii="宋体" w:hAnsi="宋体" w:cs="宋体"/>
          <w:b/>
          <w:color w:val="auto"/>
          <w:sz w:val="72"/>
          <w:szCs w:val="72"/>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65201876">
      <w:pPr>
        <w:pStyle w:val="10"/>
        <w:spacing w:line="640" w:lineRule="exact"/>
        <w:jc w:val="center"/>
        <w:rPr>
          <w:rFonts w:hint="default" w:hAnsi="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JJZB-WJ-2025040</w:t>
      </w:r>
      <w:r>
        <w:rPr>
          <w:rFonts w:hint="eastAsia" w:hAnsi="宋体"/>
          <w:b/>
          <w:color w:val="auto"/>
          <w:sz w:val="32"/>
          <w:szCs w:val="32"/>
          <w:highlight w:val="none"/>
          <w:lang w:val="en-US" w:eastAsia="zh-CN"/>
        </w:rPr>
        <w:t>-1</w:t>
      </w:r>
    </w:p>
    <w:p w14:paraId="6385ECEA">
      <w:pPr>
        <w:pStyle w:val="10"/>
        <w:spacing w:line="640" w:lineRule="exact"/>
        <w:jc w:val="center"/>
        <w:rPr>
          <w:rFonts w:hint="eastAsia" w:hAnsi="宋体"/>
          <w:b/>
          <w:color w:val="auto"/>
          <w:sz w:val="32"/>
          <w:szCs w:val="32"/>
          <w:highlight w:val="none"/>
          <w:lang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福建省司法厅机关饮用桶装水定点采购服务项目（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购</w:t>
      </w:r>
      <w:r>
        <w:rPr>
          <w:rFonts w:hint="eastAsia" w:hAnsi="宋体"/>
          <w:b/>
          <w:color w:val="auto"/>
          <w:sz w:val="32"/>
          <w:szCs w:val="32"/>
          <w:highlight w:val="none"/>
          <w:lang w:val="en-US" w:eastAsia="zh-CN"/>
        </w:rPr>
        <w:t xml:space="preserve"> </w:t>
      </w:r>
      <w:r>
        <w:rPr>
          <w:rFonts w:hint="eastAsia" w:hAnsi="宋体"/>
          <w:b/>
          <w:color w:val="auto"/>
          <w:sz w:val="32"/>
          <w:szCs w:val="32"/>
          <w:highlight w:val="none"/>
        </w:rPr>
        <w:t>人：</w:t>
      </w:r>
      <w:r>
        <w:rPr>
          <w:rFonts w:hint="eastAsia" w:hAnsi="宋体"/>
          <w:b/>
          <w:color w:val="auto"/>
          <w:sz w:val="32"/>
          <w:szCs w:val="32"/>
          <w:highlight w:val="none"/>
          <w:lang w:eastAsia="zh-CN"/>
        </w:rPr>
        <w:t>福建省司法厅</w:t>
      </w:r>
    </w:p>
    <w:p w14:paraId="139BD949">
      <w:pPr>
        <w:pStyle w:val="4"/>
        <w:jc w:val="both"/>
        <w:rPr>
          <w:rFonts w:hint="default"/>
          <w:color w:val="auto"/>
          <w:sz w:val="48"/>
          <w:highlight w:val="none"/>
        </w:rPr>
      </w:pPr>
    </w:p>
    <w:p w14:paraId="6280ACD9">
      <w:pPr>
        <w:rPr>
          <w:rFonts w:hint="default"/>
        </w:rPr>
      </w:pPr>
    </w:p>
    <w:p w14:paraId="0D6CB01F">
      <w:pPr>
        <w:rPr>
          <w:rFonts w:hint="default"/>
        </w:rPr>
      </w:pPr>
    </w:p>
    <w:p w14:paraId="068EB945">
      <w:pPr>
        <w:pStyle w:val="10"/>
        <w:rPr>
          <w:rFonts w:hint="default"/>
        </w:rPr>
      </w:pPr>
    </w:p>
    <w:p w14:paraId="27374161">
      <w:pPr>
        <w:pStyle w:val="10"/>
        <w:rPr>
          <w:rFonts w:hint="default"/>
        </w:rPr>
      </w:pPr>
    </w:p>
    <w:p w14:paraId="65E76CDD">
      <w:pPr>
        <w:rPr>
          <w:color w:val="auto"/>
          <w:highlight w:val="none"/>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630F192B">
      <w:pPr>
        <w:pStyle w:val="9"/>
        <w:rPr>
          <w:rFonts w:ascii="宋体" w:hAnsi="宋体"/>
          <w:color w:val="auto"/>
          <w:highlight w:val="none"/>
        </w:rPr>
      </w:pPr>
    </w:p>
    <w:p w14:paraId="0E6C2A06">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福建省司法厅</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福建省司法厅机关饮用桶装水定点采购服务项目（二次）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JJZB-WJ-2025040</w:t>
      </w:r>
      <w:r>
        <w:rPr>
          <w:rFonts w:hint="eastAsia" w:ascii="宋体" w:hAnsi="宋体" w:cs="宋体"/>
          <w:b/>
          <w:bCs/>
          <w:color w:val="auto"/>
          <w:kern w:val="0"/>
          <w:sz w:val="24"/>
          <w:highlight w:val="none"/>
          <w:u w:val="single"/>
          <w:lang w:val="en-US" w:eastAsia="zh-CN"/>
        </w:rPr>
        <w:t>-1</w:t>
      </w:r>
    </w:p>
    <w:p w14:paraId="436DF575">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cs="宋体"/>
          <w:b/>
          <w:bCs/>
          <w:color w:val="auto"/>
          <w:kern w:val="0"/>
          <w:sz w:val="24"/>
          <w:highlight w:val="none"/>
          <w:u w:val="single"/>
          <w:lang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福建省司法厅机关饮用桶装水定点采购服务项目（二次）</w:t>
      </w:r>
    </w:p>
    <w:p w14:paraId="494DC9FF">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3.网上竞价货物</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服务、工程</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4FA096A1">
      <w:pPr>
        <w:pStyle w:val="16"/>
        <w:keepNext w:val="0"/>
        <w:keepLines w:val="0"/>
        <w:pageBreakBefore w:val="0"/>
        <w:kinsoku/>
        <w:overflowPunct/>
        <w:topLinePunct w:val="0"/>
        <w:autoSpaceDE/>
        <w:autoSpaceDN/>
        <w:bidi w:val="0"/>
        <w:adjustRightInd/>
        <w:snapToGrid/>
        <w:spacing w:before="0" w:beforeAutospacing="0" w:after="0" w:afterAutospacing="0" w:line="48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w:t>
      </w:r>
      <w:bookmarkStart w:id="0" w:name="_Toc21403"/>
      <w:r>
        <w:rPr>
          <w:rFonts w:hint="eastAsia" w:ascii="宋体" w:hAnsi="宋体" w:eastAsia="宋体" w:cs="宋体"/>
          <w:b/>
          <w:bCs/>
          <w:color w:val="auto"/>
          <w:highlight w:val="none"/>
        </w:rPr>
        <w:t>报名及竞价时间安排：</w:t>
      </w:r>
    </w:p>
    <w:p w14:paraId="3D8C5545">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w:t>
      </w:r>
    </w:p>
    <w:p w14:paraId="5BE0AC6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报名截止时间：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07</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0:00</w:t>
      </w:r>
    </w:p>
    <w:p w14:paraId="5B3C8BBE">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网上竞价开始时间：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09</w:t>
      </w:r>
      <w:r>
        <w:rPr>
          <w:rFonts w:hint="eastAsia" w:ascii="宋体" w:hAnsi="宋体" w:eastAsia="宋体" w:cs="宋体"/>
          <w:color w:val="auto"/>
          <w:sz w:val="24"/>
          <w:highlight w:val="none"/>
        </w:rPr>
        <w:t>:00:00</w:t>
      </w:r>
    </w:p>
    <w:p w14:paraId="40730D24">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网上竞价截止时间：</w:t>
      </w:r>
      <w:r>
        <w:rPr>
          <w:rFonts w:hint="eastAsia" w:ascii="宋体" w:hAnsi="宋体" w:eastAsia="宋体" w:cs="宋体"/>
          <w:color w:val="auto"/>
          <w:sz w:val="24"/>
          <w:highlight w:val="non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08</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:00:00</w:t>
      </w:r>
    </w:p>
    <w:p w14:paraId="706DFD3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5.供应商资格要求</w:t>
      </w:r>
      <w:r>
        <w:rPr>
          <w:rFonts w:hint="eastAsia" w:ascii="宋体" w:hAnsi="宋体" w:cs="宋体"/>
          <w:b/>
          <w:bCs/>
          <w:color w:val="auto"/>
          <w:sz w:val="24"/>
          <w:highlight w:val="none"/>
          <w:lang w:eastAsia="zh-CN"/>
        </w:rPr>
        <w:t>：</w:t>
      </w:r>
    </w:p>
    <w:p w14:paraId="080F61E8">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28"/>
        <w:keepNext w:val="0"/>
        <w:keepLines w:val="0"/>
        <w:pageBreakBefore w:val="0"/>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183491C1">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b/>
          <w:bCs/>
          <w:sz w:val="24"/>
          <w:highlight w:val="none"/>
          <w:lang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eastAsia="宋体" w:cs="宋体"/>
          <w:b/>
          <w:bCs/>
          <w:sz w:val="24"/>
          <w:highlight w:val="none"/>
          <w:lang w:eastAsia="zh-CN"/>
        </w:rPr>
        <w:t>①供应商为饮用水生产厂家的，须提供《食品生产许可证》及《取水许可证》；②供应商为经销商的，须提供《食品经营许可证》。（提供有效证书复印件并加盖供应商公章</w:t>
      </w:r>
      <w:r>
        <w:rPr>
          <w:rFonts w:hint="eastAsia" w:ascii="宋体" w:hAnsi="宋体" w:cs="宋体"/>
          <w:b/>
          <w:bCs/>
          <w:sz w:val="24"/>
          <w:highlight w:val="none"/>
          <w:lang w:eastAsia="zh-CN"/>
        </w:rPr>
        <w:t>，</w:t>
      </w:r>
      <w:r>
        <w:rPr>
          <w:rFonts w:hint="eastAsia" w:ascii="宋体" w:hAnsi="宋体" w:eastAsia="宋体" w:cs="宋体"/>
          <w:b/>
          <w:bCs/>
          <w:sz w:val="24"/>
          <w:highlight w:val="none"/>
          <w:lang w:eastAsia="zh-CN"/>
        </w:rPr>
        <w:t>在报名截止时间前，如因国家政策调整，国家有关行政部门有新的食品经营销售方面规定的，应从其规定，但</w:t>
      </w:r>
      <w:r>
        <w:rPr>
          <w:rFonts w:hint="eastAsia" w:ascii="宋体" w:hAnsi="宋体" w:cs="宋体"/>
          <w:b/>
          <w:bCs/>
          <w:sz w:val="24"/>
          <w:highlight w:val="none"/>
          <w:lang w:val="en-US" w:eastAsia="zh-CN"/>
        </w:rPr>
        <w:t>供应商</w:t>
      </w:r>
      <w:r>
        <w:rPr>
          <w:rFonts w:hint="eastAsia" w:ascii="宋体" w:hAnsi="宋体" w:eastAsia="宋体" w:cs="宋体"/>
          <w:b/>
          <w:bCs/>
          <w:sz w:val="24"/>
          <w:highlight w:val="none"/>
          <w:lang w:eastAsia="zh-CN"/>
        </w:rPr>
        <w:t>须在</w:t>
      </w:r>
      <w:r>
        <w:rPr>
          <w:rFonts w:hint="eastAsia" w:ascii="宋体" w:hAnsi="宋体" w:cs="宋体"/>
          <w:b/>
          <w:bCs/>
          <w:sz w:val="24"/>
          <w:highlight w:val="none"/>
          <w:lang w:val="en-US" w:eastAsia="zh-CN"/>
        </w:rPr>
        <w:t>响应</w:t>
      </w:r>
      <w:r>
        <w:rPr>
          <w:rFonts w:hint="eastAsia" w:ascii="宋体" w:hAnsi="宋体" w:eastAsia="宋体" w:cs="宋体"/>
          <w:b/>
          <w:bCs/>
          <w:sz w:val="24"/>
          <w:highlight w:val="none"/>
          <w:lang w:eastAsia="zh-CN"/>
        </w:rPr>
        <w:t>文件中做出书面说明并附上有关制度规定予以佐证</w:t>
      </w:r>
      <w:r>
        <w:rPr>
          <w:rFonts w:hint="eastAsia" w:ascii="宋体" w:hAnsi="宋体" w:cs="宋体"/>
          <w:b/>
          <w:bCs/>
          <w:sz w:val="24"/>
          <w:highlight w:val="none"/>
          <w:lang w:eastAsia="zh-CN"/>
        </w:rPr>
        <w:t>。</w:t>
      </w:r>
      <w:r>
        <w:rPr>
          <w:rFonts w:hint="eastAsia" w:ascii="宋体" w:hAnsi="宋体" w:eastAsia="宋体" w:cs="宋体"/>
          <w:b/>
          <w:bCs/>
          <w:sz w:val="24"/>
          <w:highlight w:val="none"/>
          <w:lang w:eastAsia="zh-CN"/>
        </w:rPr>
        <w:t>）</w:t>
      </w:r>
    </w:p>
    <w:p w14:paraId="0F2CF48F">
      <w:pPr>
        <w:keepNext w:val="0"/>
        <w:keepLines w:val="0"/>
        <w:pageBreakBefore w:val="0"/>
        <w:widowControl w:val="0"/>
        <w:kinsoku/>
        <w:wordWrap w:val="0"/>
        <w:overflowPunct/>
        <w:topLinePunct w:val="0"/>
        <w:autoSpaceDE/>
        <w:autoSpaceDN/>
        <w:bidi w:val="0"/>
        <w:adjustRightInd/>
        <w:snapToGrid/>
        <w:spacing w:line="48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8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80" w:lineRule="exact"/>
        <w:ind w:left="0" w:firstLine="480" w:firstLineChars="200"/>
        <w:jc w:val="left"/>
        <w:textAlignment w:val="auto"/>
        <w:rPr>
          <w:rStyle w:val="29"/>
          <w:rFonts w:hint="eastAsia" w:ascii="宋体" w:hAnsi="宋体" w:eastAsia="宋体" w:cs="宋体"/>
          <w:color w:val="auto"/>
          <w:highlight w:val="none"/>
        </w:rPr>
      </w:pPr>
      <w:r>
        <w:rPr>
          <w:rStyle w:val="29"/>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b/>
          <w:color w:val="auto"/>
          <w:sz w:val="24"/>
          <w:highlight w:val="none"/>
        </w:rPr>
        <w:t>6.网上竞价文件售价</w:t>
      </w:r>
      <w:r>
        <w:rPr>
          <w:rFonts w:hint="eastAsia" w:ascii="宋体" w:hAnsi="宋体" w:cs="宋体"/>
          <w:b/>
          <w:color w:val="auto"/>
          <w:sz w:val="24"/>
          <w:highlight w:val="none"/>
          <w:lang w:val="en-US" w:eastAsia="zh-CN"/>
        </w:rPr>
        <w:t>:</w:t>
      </w:r>
    </w:p>
    <w:p w14:paraId="197BD860">
      <w:pPr>
        <w:keepNext w:val="0"/>
        <w:keepLines w:val="0"/>
        <w:pageBreakBefore w:val="0"/>
        <w:widowControl/>
        <w:kinsoku/>
        <w:overflowPunct/>
        <w:topLinePunct w:val="0"/>
        <w:autoSpaceDE/>
        <w:autoSpaceDN/>
        <w:bidi w:val="0"/>
        <w:adjustRightInd/>
        <w:snapToGrid/>
        <w:spacing w:line="48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w:t>
      </w:r>
      <w:r>
        <w:rPr>
          <w:rFonts w:hint="eastAsia" w:ascii="宋体" w:hAnsi="宋体" w:eastAsia="宋体" w:cs="宋体"/>
          <w:b/>
          <w:bCs/>
          <w:color w:val="auto"/>
          <w:sz w:val="24"/>
          <w:highlight w:val="none"/>
          <w:lang w:val="en-US" w:eastAsia="zh-CN"/>
        </w:rPr>
        <w:t>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80" w:lineRule="exact"/>
        <w:ind w:left="0" w:firstLine="482" w:firstLineChars="200"/>
        <w:jc w:val="left"/>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rPr>
        <w:t>10.联系方式</w:t>
      </w:r>
      <w:r>
        <w:rPr>
          <w:rFonts w:hint="eastAsia" w:ascii="宋体" w:hAnsi="宋体" w:cs="宋体"/>
          <w:b/>
          <w:bCs w:val="0"/>
          <w:color w:val="auto"/>
          <w:sz w:val="24"/>
          <w:highlight w:val="none"/>
          <w:lang w:val="en-US" w:eastAsia="zh-CN"/>
        </w:rPr>
        <w:t>:</w:t>
      </w:r>
    </w:p>
    <w:p w14:paraId="50F88260">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福建省司法厅</w:t>
      </w:r>
    </w:p>
    <w:p w14:paraId="3FD48DE2">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szCs w:val="24"/>
          <w:highlight w:val="none"/>
        </w:rPr>
        <w:t>福建省福州市鼓楼区鼓西街道后县社区湖头街113号　</w:t>
      </w:r>
    </w:p>
    <w:p w14:paraId="60C9C1E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周先生 0591-87713287 </w:t>
      </w:r>
    </w:p>
    <w:p w14:paraId="06556C55">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项目负责人：赖天凤、黄书炀</w:t>
      </w:r>
    </w:p>
    <w:p w14:paraId="68620EFB">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03B34B2F">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福建省司法厅，网址：http://sft.fujian.gov.cn/；</w:t>
      </w:r>
    </w:p>
    <w:p w14:paraId="212A6486">
      <w:pPr>
        <w:keepNext w:val="0"/>
        <w:keepLines w:val="0"/>
        <w:pageBreakBefore w:val="0"/>
        <w:kinsoku/>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福建杰俊招标代理有限公司，网址：http://www.fjjjzb.com/。</w:t>
      </w:r>
    </w:p>
    <w:p w14:paraId="7679685E">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29"/>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19"/>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19"/>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29"/>
          <w:rFonts w:ascii="宋体" w:hAnsi="宋体"/>
          <w:b/>
          <w:bCs/>
          <w:color w:val="auto"/>
          <w:kern w:val="0"/>
          <w:sz w:val="24"/>
          <w:highlight w:val="none"/>
        </w:rPr>
      </w:pPr>
      <w:r>
        <w:rPr>
          <w:rStyle w:val="29"/>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29"/>
          <w:rFonts w:ascii="宋体" w:hAnsi="宋体" w:cs="宋体"/>
          <w:color w:val="auto"/>
          <w:kern w:val="0"/>
          <w:sz w:val="24"/>
          <w:highlight w:val="none"/>
        </w:rPr>
      </w:pPr>
      <w:r>
        <w:rPr>
          <w:rStyle w:val="29"/>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w:t>
      </w:r>
      <w:r>
        <w:rPr>
          <w:rFonts w:hint="eastAsia" w:ascii="宋体" w:hAnsi="宋体" w:cs="宋体"/>
          <w:b/>
          <w:bCs/>
          <w:color w:val="auto"/>
          <w:sz w:val="24"/>
          <w:highlight w:val="none"/>
        </w:rPr>
        <w:t>供应商须</w:t>
      </w:r>
      <w:r>
        <w:rPr>
          <w:rStyle w:val="29"/>
          <w:rFonts w:hint="eastAsia" w:ascii="宋体" w:hAnsi="宋体" w:cs="宋体"/>
          <w:b/>
          <w:bCs/>
          <w:color w:val="auto"/>
          <w:sz w:val="24"/>
          <w:highlight w:val="none"/>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w:t>
      </w:r>
      <w:r>
        <w:rPr>
          <w:rStyle w:val="29"/>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6"/>
        <w:keepNext w:val="0"/>
        <w:keepLines w:val="0"/>
        <w:pageBreakBefore w:val="0"/>
        <w:shd w:val="clear"/>
        <w:kinsoku/>
        <w:topLinePunct w:val="0"/>
        <w:bidi w:val="0"/>
        <w:spacing w:before="0" w:beforeAutospacing="0" w:after="0" w:afterAutospacing="0" w:line="400" w:lineRule="exact"/>
        <w:ind w:firstLine="480"/>
        <w:rPr>
          <w:rStyle w:val="29"/>
          <w:rFonts w:ascii="Times New Roman" w:hAnsi="Times New Roman" w:cs="Times New Roman"/>
          <w:b w:val="0"/>
          <w:bCs w:val="0"/>
          <w:color w:val="auto"/>
          <w:sz w:val="24"/>
          <w:highlight w:val="none"/>
        </w:rPr>
      </w:pPr>
      <w:r>
        <w:rPr>
          <w:rFonts w:hint="eastAsia"/>
          <w:color w:val="auto"/>
          <w:highlight w:val="none"/>
        </w:rPr>
        <w:t>3.</w:t>
      </w:r>
      <w:r>
        <w:rPr>
          <w:rStyle w:val="29"/>
          <w:rFonts w:hint="eastAsia"/>
          <w:color w:val="auto"/>
          <w:sz w:val="24"/>
          <w:highlight w:val="none"/>
        </w:rPr>
        <w:t>供应商提交的响应文件符合网上竞价文件要求的（即不存在网上竞价文件中规定的无效响应情形的）方可在网上竞价时间内参与竞价</w:t>
      </w:r>
      <w:r>
        <w:rPr>
          <w:rStyle w:val="29"/>
          <w:color w:val="auto"/>
          <w:sz w:val="24"/>
          <w:highlight w:val="none"/>
        </w:rPr>
        <w:t>。</w:t>
      </w:r>
      <w:r>
        <w:rPr>
          <w:rStyle w:val="29"/>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29"/>
          <w:rFonts w:ascii="Times New Roman" w:hAnsi="Times New Roman" w:cs="Times New Roman"/>
          <w:color w:val="auto"/>
          <w:highlight w:val="none"/>
        </w:rPr>
        <w:t>力</w:t>
      </w:r>
      <w:r>
        <w:rPr>
          <w:rStyle w:val="29"/>
          <w:rFonts w:hint="eastAsia" w:ascii="Times New Roman" w:hAnsi="Times New Roman" w:cs="Times New Roman"/>
          <w:color w:val="auto"/>
          <w:sz w:val="24"/>
          <w:highlight w:val="none"/>
        </w:rPr>
        <w:t>。</w:t>
      </w:r>
      <w:r>
        <w:rPr>
          <w:rStyle w:val="29"/>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p>
    <w:p w14:paraId="63751337">
      <w:pPr>
        <w:pStyle w:val="16"/>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3"/>
          <w:rFonts w:hint="eastAsia"/>
          <w:color w:val="auto"/>
          <w:highlight w:val="none"/>
        </w:rPr>
        <w:t>报名审核不合格，视为无效响应：</w:t>
      </w:r>
    </w:p>
    <w:p w14:paraId="47312A6D">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0"/>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29"/>
          <w:rFonts w:hint="eastAsia" w:ascii="宋体" w:hAnsi="宋体"/>
          <w:b/>
          <w:bCs/>
          <w:color w:val="auto"/>
          <w:kern w:val="0"/>
          <w:sz w:val="24"/>
          <w:highlight w:val="none"/>
        </w:rPr>
        <w:t>三、网上</w:t>
      </w:r>
      <w:r>
        <w:rPr>
          <w:rStyle w:val="29"/>
          <w:rFonts w:ascii="宋体" w:hAnsi="宋体"/>
          <w:b/>
          <w:bCs/>
          <w:color w:val="auto"/>
          <w:kern w:val="0"/>
          <w:sz w:val="24"/>
          <w:highlight w:val="none"/>
        </w:rPr>
        <w:t>竞价规则</w:t>
      </w:r>
    </w:p>
    <w:p w14:paraId="219E7907">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textAlignment w:val="auto"/>
        <w:rPr>
          <w:rStyle w:val="29"/>
          <w:rFonts w:hint="eastAsia" w:ascii="宋体" w:hAnsi="宋体" w:eastAsia="宋体" w:cs="Times New Roman"/>
          <w:b/>
          <w:bCs/>
          <w:color w:val="auto"/>
          <w:kern w:val="0"/>
          <w:sz w:val="24"/>
          <w:highlight w:val="none"/>
        </w:rPr>
      </w:pPr>
      <w:r>
        <w:rPr>
          <w:rFonts w:hint="eastAsia"/>
          <w:color w:val="auto"/>
          <w:highlight w:val="none"/>
        </w:rPr>
        <w:t>1.</w:t>
      </w:r>
      <w:r>
        <w:rPr>
          <w:rStyle w:val="29"/>
          <w:color w:val="auto"/>
          <w:kern w:val="0"/>
          <w:sz w:val="24"/>
          <w:highlight w:val="none"/>
        </w:rPr>
        <w:t>网上竞价的报价时限为</w:t>
      </w:r>
      <w:r>
        <w:rPr>
          <w:rStyle w:val="29"/>
          <w:rFonts w:hint="eastAsia"/>
          <w:color w:val="auto"/>
          <w:kern w:val="0"/>
          <w:sz w:val="24"/>
          <w:highlight w:val="none"/>
        </w:rPr>
        <w:t>网上竞价开始时间起至网上竞价截止时间止，在此期间内</w:t>
      </w:r>
      <w:r>
        <w:rPr>
          <w:rStyle w:val="29"/>
          <w:color w:val="auto"/>
          <w:kern w:val="0"/>
          <w:sz w:val="24"/>
          <w:highlight w:val="none"/>
        </w:rPr>
        <w:t>，报名审核</w:t>
      </w:r>
      <w:r>
        <w:rPr>
          <w:rStyle w:val="29"/>
          <w:rFonts w:hint="eastAsia"/>
          <w:color w:val="auto"/>
          <w:kern w:val="0"/>
          <w:sz w:val="24"/>
          <w:highlight w:val="none"/>
        </w:rPr>
        <w:t>通过</w:t>
      </w:r>
      <w:r>
        <w:rPr>
          <w:rStyle w:val="29"/>
          <w:color w:val="auto"/>
          <w:kern w:val="0"/>
          <w:sz w:val="24"/>
          <w:highlight w:val="none"/>
        </w:rPr>
        <w:t>的</w:t>
      </w:r>
      <w:r>
        <w:rPr>
          <w:rStyle w:val="29"/>
          <w:rFonts w:hint="eastAsia"/>
          <w:color w:val="auto"/>
          <w:kern w:val="0"/>
          <w:sz w:val="24"/>
          <w:highlight w:val="none"/>
        </w:rPr>
        <w:t>供应商</w:t>
      </w:r>
      <w:r>
        <w:rPr>
          <w:rStyle w:val="29"/>
          <w:color w:val="auto"/>
          <w:kern w:val="0"/>
          <w:sz w:val="24"/>
          <w:highlight w:val="none"/>
        </w:rPr>
        <w:t>可通过</w:t>
      </w:r>
      <w:r>
        <w:rPr>
          <w:rStyle w:val="29"/>
          <w:rFonts w:hint="eastAsia"/>
          <w:color w:val="auto"/>
          <w:kern w:val="0"/>
          <w:sz w:val="24"/>
          <w:highlight w:val="none"/>
        </w:rPr>
        <w:t>网上竞价平台</w:t>
      </w:r>
      <w:r>
        <w:rPr>
          <w:rStyle w:val="29"/>
          <w:color w:val="auto"/>
          <w:kern w:val="0"/>
          <w:sz w:val="24"/>
          <w:highlight w:val="none"/>
        </w:rPr>
        <w:t>参与</w:t>
      </w:r>
      <w:r>
        <w:rPr>
          <w:rStyle w:val="29"/>
          <w:rFonts w:hint="eastAsia"/>
          <w:color w:val="auto"/>
          <w:kern w:val="0"/>
          <w:sz w:val="24"/>
          <w:highlight w:val="none"/>
        </w:rPr>
        <w:t>网上</w:t>
      </w:r>
      <w:r>
        <w:rPr>
          <w:rStyle w:val="29"/>
          <w:color w:val="auto"/>
          <w:kern w:val="0"/>
          <w:sz w:val="24"/>
          <w:highlight w:val="none"/>
        </w:rPr>
        <w:t>竞价（不限报价次数，在规定时间内提交报价均可）。</w:t>
      </w:r>
      <w:r>
        <w:rPr>
          <w:rStyle w:val="29"/>
          <w:rFonts w:hint="eastAsia" w:ascii="宋体" w:hAnsi="宋体" w:eastAsia="宋体" w:cs="Times New Roman"/>
          <w:b/>
          <w:bCs/>
          <w:color w:val="auto"/>
          <w:kern w:val="0"/>
          <w:sz w:val="24"/>
          <w:highlight w:val="none"/>
        </w:rPr>
        <w:t>至网上竞价截止时间止，若提交报价的供应商数量不足三家的，本次采购活动结束，采购人将按照相关规定进行后续采购活动（包括但不限于：重新采购、采用其他方式采购等）。</w:t>
      </w:r>
    </w:p>
    <w:p w14:paraId="1C871636">
      <w:pPr>
        <w:keepNext w:val="0"/>
        <w:keepLines w:val="0"/>
        <w:pageBreakBefore w:val="0"/>
        <w:widowControl/>
        <w:kinsoku/>
        <w:topLinePunct w:val="0"/>
        <w:bidi w:val="0"/>
        <w:spacing w:line="400" w:lineRule="exact"/>
        <w:ind w:firstLine="480" w:firstLineChars="200"/>
        <w:jc w:val="left"/>
        <w:textAlignment w:val="baseline"/>
        <w:rPr>
          <w:rStyle w:val="29"/>
          <w:rFonts w:ascii="宋体" w:hAnsi="宋体"/>
          <w:color w:val="auto"/>
          <w:kern w:val="0"/>
          <w:sz w:val="24"/>
          <w:highlight w:val="none"/>
        </w:rPr>
      </w:pPr>
      <w:r>
        <w:rPr>
          <w:rStyle w:val="29"/>
          <w:rFonts w:hint="eastAsia" w:ascii="宋体" w:hAnsi="宋体"/>
          <w:b w:val="0"/>
          <w:bCs w:val="0"/>
          <w:color w:val="auto"/>
          <w:kern w:val="0"/>
          <w:sz w:val="24"/>
          <w:highlight w:val="none"/>
        </w:rPr>
        <w:t>2.</w:t>
      </w:r>
      <w:r>
        <w:rPr>
          <w:rStyle w:val="29"/>
          <w:rFonts w:hint="eastAsia" w:ascii="宋体" w:hAnsi="宋体"/>
          <w:b/>
          <w:bCs/>
          <w:color w:val="auto"/>
          <w:kern w:val="0"/>
          <w:sz w:val="24"/>
          <w:highlight w:val="none"/>
        </w:rPr>
        <w:t>供应商</w:t>
      </w:r>
      <w:r>
        <w:rPr>
          <w:rStyle w:val="29"/>
          <w:rFonts w:ascii="宋体" w:hAnsi="宋体"/>
          <w:b/>
          <w:bCs/>
          <w:color w:val="auto"/>
          <w:kern w:val="0"/>
          <w:sz w:val="24"/>
          <w:highlight w:val="none"/>
        </w:rPr>
        <w:t>首次提交的报价</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须</w:t>
      </w:r>
      <w:r>
        <w:rPr>
          <w:rStyle w:val="29"/>
          <w:rFonts w:hint="eastAsia" w:ascii="宋体" w:hAnsi="宋体"/>
          <w:b/>
          <w:bCs/>
          <w:color w:val="auto"/>
          <w:kern w:val="0"/>
          <w:sz w:val="24"/>
          <w:highlight w:val="none"/>
        </w:rPr>
        <w:t>低于</w:t>
      </w:r>
      <w:r>
        <w:rPr>
          <w:rStyle w:val="29"/>
          <w:rFonts w:ascii="宋体" w:hAnsi="宋体"/>
          <w:b/>
          <w:bCs/>
          <w:color w:val="auto"/>
          <w:kern w:val="0"/>
          <w:sz w:val="24"/>
          <w:highlight w:val="none"/>
        </w:rPr>
        <w:t>本项目</w:t>
      </w:r>
      <w:r>
        <w:rPr>
          <w:rStyle w:val="29"/>
          <w:rFonts w:hint="eastAsia" w:ascii="宋体" w:hAnsi="宋体"/>
          <w:b/>
          <w:bCs/>
          <w:color w:val="auto"/>
          <w:kern w:val="0"/>
          <w:sz w:val="24"/>
          <w:highlight w:val="none"/>
        </w:rPr>
        <w:t>总价</w:t>
      </w:r>
      <w:r>
        <w:rPr>
          <w:rStyle w:val="29"/>
          <w:rFonts w:ascii="宋体" w:hAnsi="宋体"/>
          <w:b/>
          <w:bCs/>
          <w:color w:val="auto"/>
          <w:kern w:val="0"/>
          <w:sz w:val="24"/>
          <w:highlight w:val="none"/>
        </w:rPr>
        <w:t>最高限价</w:t>
      </w:r>
      <w:r>
        <w:rPr>
          <w:rStyle w:val="29"/>
          <w:rFonts w:hint="eastAsia" w:ascii="宋体" w:hAnsi="宋体"/>
          <w:b/>
          <w:bCs/>
          <w:color w:val="auto"/>
          <w:kern w:val="0"/>
          <w:sz w:val="24"/>
          <w:highlight w:val="none"/>
        </w:rPr>
        <w:t>的</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以上（不含</w:t>
      </w:r>
      <w:r>
        <w:rPr>
          <w:rStyle w:val="29"/>
          <w:rFonts w:ascii="宋体" w:hAnsi="宋体"/>
          <w:b/>
          <w:bCs/>
          <w:color w:val="auto"/>
          <w:kern w:val="0"/>
          <w:sz w:val="24"/>
          <w:highlight w:val="none"/>
        </w:rPr>
        <w:t>3%</w:t>
      </w:r>
      <w:r>
        <w:rPr>
          <w:rStyle w:val="29"/>
          <w:rFonts w:hint="eastAsia" w:ascii="宋体" w:hAnsi="宋体"/>
          <w:b/>
          <w:bCs/>
          <w:color w:val="auto"/>
          <w:kern w:val="0"/>
          <w:sz w:val="24"/>
          <w:highlight w:val="none"/>
        </w:rPr>
        <w:t>）</w:t>
      </w:r>
      <w:r>
        <w:rPr>
          <w:rStyle w:val="29"/>
          <w:rFonts w:ascii="宋体" w:hAnsi="宋体"/>
          <w:b/>
          <w:bCs/>
          <w:color w:val="auto"/>
          <w:kern w:val="0"/>
          <w:sz w:val="24"/>
          <w:highlight w:val="none"/>
        </w:rPr>
        <w:t>，否则</w:t>
      </w:r>
      <w:r>
        <w:rPr>
          <w:rStyle w:val="29"/>
          <w:rFonts w:ascii="宋体" w:hAnsi="宋体" w:cs="宋体"/>
          <w:b/>
          <w:bCs/>
          <w:color w:val="auto"/>
          <w:kern w:val="0"/>
          <w:sz w:val="24"/>
          <w:highlight w:val="none"/>
        </w:rPr>
        <w:t>视为无效报价</w:t>
      </w:r>
      <w:r>
        <w:rPr>
          <w:rStyle w:val="29"/>
          <w:rFonts w:ascii="宋体" w:hAnsi="宋体"/>
          <w:b/>
          <w:bCs/>
          <w:color w:val="auto"/>
          <w:kern w:val="0"/>
          <w:sz w:val="24"/>
          <w:highlight w:val="none"/>
        </w:rPr>
        <w:t>。</w:t>
      </w:r>
      <w:r>
        <w:rPr>
          <w:rStyle w:val="29"/>
          <w:rFonts w:ascii="宋体" w:hAnsi="宋体"/>
          <w:color w:val="auto"/>
          <w:kern w:val="0"/>
          <w:sz w:val="24"/>
          <w:highlight w:val="none"/>
        </w:rPr>
        <w:t>在</w:t>
      </w:r>
      <w:r>
        <w:rPr>
          <w:rStyle w:val="29"/>
          <w:rFonts w:hint="eastAsia" w:ascii="宋体" w:hAnsi="宋体"/>
          <w:color w:val="auto"/>
          <w:kern w:val="0"/>
          <w:sz w:val="24"/>
          <w:highlight w:val="none"/>
        </w:rPr>
        <w:t>网上竞价时间</w:t>
      </w:r>
      <w:r>
        <w:rPr>
          <w:rStyle w:val="29"/>
          <w:rFonts w:ascii="宋体" w:hAnsi="宋体"/>
          <w:color w:val="auto"/>
          <w:kern w:val="0"/>
          <w:sz w:val="24"/>
          <w:highlight w:val="none"/>
        </w:rPr>
        <w:t>内</w:t>
      </w:r>
      <w:r>
        <w:rPr>
          <w:rStyle w:val="29"/>
          <w:rFonts w:hint="eastAsia" w:ascii="宋体" w:hAnsi="宋体"/>
          <w:color w:val="auto"/>
          <w:kern w:val="0"/>
          <w:sz w:val="24"/>
          <w:highlight w:val="none"/>
        </w:rPr>
        <w:t>、同一供应商有</w:t>
      </w:r>
      <w:r>
        <w:rPr>
          <w:rStyle w:val="29"/>
          <w:rFonts w:ascii="宋体" w:hAnsi="宋体"/>
          <w:color w:val="auto"/>
          <w:kern w:val="0"/>
          <w:sz w:val="24"/>
          <w:highlight w:val="none"/>
        </w:rPr>
        <w:t>多次报价的</w:t>
      </w:r>
      <w:r>
        <w:rPr>
          <w:rStyle w:val="29"/>
          <w:rFonts w:hint="eastAsia" w:ascii="宋体" w:hAnsi="宋体"/>
          <w:color w:val="auto"/>
          <w:kern w:val="0"/>
          <w:sz w:val="24"/>
          <w:highlight w:val="none"/>
        </w:rPr>
        <w:t>情况下</w:t>
      </w:r>
      <w:r>
        <w:rPr>
          <w:rStyle w:val="29"/>
          <w:rFonts w:ascii="宋体" w:hAnsi="宋体"/>
          <w:color w:val="auto"/>
          <w:kern w:val="0"/>
          <w:sz w:val="24"/>
          <w:highlight w:val="none"/>
        </w:rPr>
        <w:t>，</w:t>
      </w:r>
      <w:r>
        <w:rPr>
          <w:rStyle w:val="29"/>
          <w:rFonts w:hint="eastAsia" w:ascii="宋体" w:hAnsi="宋体"/>
          <w:color w:val="auto"/>
          <w:kern w:val="0"/>
          <w:sz w:val="24"/>
          <w:highlight w:val="none"/>
        </w:rPr>
        <w:t>则该供应商的每一次</w:t>
      </w:r>
      <w:r>
        <w:rPr>
          <w:rStyle w:val="29"/>
          <w:rFonts w:ascii="宋体" w:hAnsi="宋体"/>
          <w:color w:val="auto"/>
          <w:kern w:val="0"/>
          <w:sz w:val="24"/>
          <w:highlight w:val="none"/>
        </w:rPr>
        <w:t>报价金额必须小于自己上一次的报价金额，</w:t>
      </w:r>
      <w:r>
        <w:rPr>
          <w:rStyle w:val="29"/>
          <w:rFonts w:hint="eastAsia" w:ascii="宋体" w:hAnsi="宋体"/>
          <w:color w:val="auto"/>
          <w:kern w:val="0"/>
          <w:sz w:val="24"/>
          <w:highlight w:val="none"/>
        </w:rPr>
        <w:t>同时以该供应商</w:t>
      </w:r>
      <w:r>
        <w:rPr>
          <w:rStyle w:val="29"/>
          <w:rFonts w:ascii="宋体" w:hAnsi="宋体"/>
          <w:color w:val="auto"/>
          <w:kern w:val="0"/>
          <w:sz w:val="24"/>
          <w:highlight w:val="none"/>
        </w:rPr>
        <w:t>提交的最后一次报价作为</w:t>
      </w:r>
      <w:r>
        <w:rPr>
          <w:rStyle w:val="29"/>
          <w:rFonts w:hint="eastAsia" w:ascii="宋体" w:hAnsi="宋体"/>
          <w:color w:val="auto"/>
          <w:kern w:val="0"/>
          <w:sz w:val="24"/>
          <w:highlight w:val="none"/>
        </w:rPr>
        <w:t>其最终有效报价</w:t>
      </w:r>
      <w:r>
        <w:rPr>
          <w:rStyle w:val="29"/>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29"/>
          <w:rFonts w:hint="eastAsia" w:ascii="宋体" w:hAnsi="宋体"/>
          <w:color w:val="auto"/>
          <w:kern w:val="0"/>
          <w:sz w:val="24"/>
          <w:highlight w:val="none"/>
        </w:rPr>
      </w:pPr>
      <w:r>
        <w:rPr>
          <w:rFonts w:hint="eastAsia" w:ascii="宋体" w:hAnsi="宋体" w:cs="宋体"/>
          <w:color w:val="auto"/>
          <w:sz w:val="24"/>
          <w:highlight w:val="none"/>
        </w:rPr>
        <w:t>1.</w:t>
      </w:r>
      <w:r>
        <w:rPr>
          <w:rStyle w:val="29"/>
          <w:rFonts w:hint="eastAsia" w:ascii="宋体" w:hAnsi="宋体"/>
          <w:color w:val="auto"/>
          <w:kern w:val="0"/>
          <w:sz w:val="24"/>
          <w:highlight w:val="none"/>
        </w:rPr>
        <w:t>供应商</w:t>
      </w:r>
      <w:r>
        <w:rPr>
          <w:rStyle w:val="29"/>
          <w:rFonts w:ascii="宋体" w:hAnsi="宋体"/>
          <w:color w:val="auto"/>
          <w:kern w:val="0"/>
          <w:sz w:val="24"/>
          <w:highlight w:val="none"/>
        </w:rPr>
        <w:t>在</w:t>
      </w:r>
      <w:r>
        <w:rPr>
          <w:rStyle w:val="29"/>
          <w:rFonts w:hint="eastAsia" w:ascii="宋体" w:hAnsi="宋体"/>
          <w:color w:val="auto"/>
          <w:kern w:val="0"/>
          <w:sz w:val="24"/>
          <w:highlight w:val="none"/>
        </w:rPr>
        <w:t>完全满足网上竞价文件要求</w:t>
      </w:r>
      <w:r>
        <w:rPr>
          <w:rStyle w:val="29"/>
          <w:rFonts w:ascii="宋体" w:hAnsi="宋体"/>
          <w:color w:val="auto"/>
          <w:kern w:val="0"/>
          <w:sz w:val="24"/>
          <w:highlight w:val="none"/>
        </w:rPr>
        <w:t>且报价有效的前提下，</w:t>
      </w:r>
      <w:r>
        <w:rPr>
          <w:rStyle w:val="29"/>
          <w:rFonts w:hint="eastAsia" w:ascii="宋体" w:hAnsi="宋体"/>
          <w:color w:val="auto"/>
          <w:kern w:val="0"/>
          <w:sz w:val="24"/>
          <w:highlight w:val="none"/>
        </w:rPr>
        <w:t>最终有效报价</w:t>
      </w:r>
      <w:r>
        <w:rPr>
          <w:rStyle w:val="29"/>
          <w:rFonts w:ascii="宋体" w:hAnsi="宋体"/>
          <w:color w:val="auto"/>
          <w:kern w:val="0"/>
          <w:sz w:val="24"/>
          <w:highlight w:val="none"/>
        </w:rPr>
        <w:t>最低者</w:t>
      </w:r>
      <w:r>
        <w:rPr>
          <w:rStyle w:val="29"/>
          <w:rFonts w:hint="eastAsia" w:ascii="宋体" w:hAnsi="宋体"/>
          <w:color w:val="auto"/>
          <w:kern w:val="0"/>
          <w:sz w:val="24"/>
          <w:highlight w:val="none"/>
        </w:rPr>
        <w:t>为</w:t>
      </w:r>
      <w:r>
        <w:rPr>
          <w:rStyle w:val="29"/>
          <w:rFonts w:ascii="宋体" w:hAnsi="宋体"/>
          <w:color w:val="auto"/>
          <w:kern w:val="0"/>
          <w:sz w:val="24"/>
          <w:highlight w:val="none"/>
        </w:rPr>
        <w:t>成交</w:t>
      </w:r>
      <w:r>
        <w:rPr>
          <w:rStyle w:val="29"/>
          <w:rFonts w:hint="eastAsia" w:ascii="宋体" w:hAnsi="宋体"/>
          <w:color w:val="auto"/>
          <w:kern w:val="0"/>
          <w:sz w:val="24"/>
          <w:highlight w:val="none"/>
        </w:rPr>
        <w:t>候选人</w:t>
      </w:r>
      <w:r>
        <w:rPr>
          <w:rStyle w:val="29"/>
          <w:rFonts w:ascii="宋体" w:hAnsi="宋体"/>
          <w:color w:val="auto"/>
          <w:kern w:val="0"/>
          <w:sz w:val="24"/>
          <w:highlight w:val="none"/>
        </w:rPr>
        <w:t>，若</w:t>
      </w:r>
      <w:r>
        <w:rPr>
          <w:rStyle w:val="29"/>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29"/>
          <w:rFonts w:hint="eastAsia" w:ascii="宋体" w:hAnsi="宋体" w:eastAsia="宋体" w:cs="Times New Roman"/>
          <w:b/>
          <w:bCs/>
          <w:color w:val="auto"/>
          <w:kern w:val="0"/>
          <w:sz w:val="24"/>
          <w:highlight w:val="none"/>
        </w:rPr>
      </w:pPr>
      <w:r>
        <w:rPr>
          <w:rStyle w:val="29"/>
          <w:rFonts w:hint="eastAsia" w:ascii="宋体" w:hAnsi="宋体" w:eastAsia="宋体" w:cs="Times New Roman"/>
          <w:b/>
          <w:bCs/>
          <w:color w:val="auto"/>
          <w:kern w:val="0"/>
          <w:sz w:val="24"/>
          <w:highlight w:val="none"/>
          <w:lang w:val="en-US" w:eastAsia="zh-CN"/>
        </w:rPr>
        <w:t>注：</w:t>
      </w:r>
      <w:r>
        <w:rPr>
          <w:rStyle w:val="29"/>
          <w:rFonts w:hint="eastAsia" w:ascii="宋体" w:hAnsi="宋体" w:cs="Times New Roman"/>
          <w:b/>
          <w:bCs/>
          <w:color w:val="auto"/>
          <w:kern w:val="0"/>
          <w:sz w:val="24"/>
          <w:highlight w:val="none"/>
          <w:lang w:val="en-US" w:eastAsia="zh-CN"/>
        </w:rPr>
        <w:t>供应商在竞价系统中提交报价时须上传《报价一览表》</w:t>
      </w:r>
      <w:r>
        <w:rPr>
          <w:rStyle w:val="29"/>
          <w:rFonts w:hint="eastAsia" w:hAnsi="宋体" w:cs="Times New Roman"/>
          <w:b/>
          <w:bCs/>
          <w:color w:val="auto"/>
          <w:kern w:val="0"/>
          <w:sz w:val="24"/>
          <w:highlight w:val="none"/>
          <w:lang w:val="en-US" w:eastAsia="zh-CN"/>
        </w:rPr>
        <w:t>，</w:t>
      </w:r>
      <w:r>
        <w:rPr>
          <w:rStyle w:val="29"/>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2C68125F">
      <w:pPr>
        <w:keepNext w:val="0"/>
        <w:keepLines w:val="0"/>
        <w:pageBreakBefore w:val="0"/>
        <w:widowControl/>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sz w:val="24"/>
          <w:szCs w:val="24"/>
          <w:lang w:val="en-US" w:eastAsia="zh-CN"/>
        </w:rPr>
        <w:t>供应商</w:t>
      </w:r>
      <w:r>
        <w:rPr>
          <w:rFonts w:hint="eastAsia" w:ascii="宋体" w:hAnsi="宋体" w:eastAsia="宋体" w:cs="宋体"/>
          <w:sz w:val="24"/>
          <w:szCs w:val="24"/>
        </w:rPr>
        <w:t>的报价明显低于其他</w:t>
      </w:r>
      <w:r>
        <w:rPr>
          <w:rFonts w:hint="eastAsia" w:ascii="宋体" w:hAnsi="宋体" w:eastAsia="宋体" w:cs="宋体"/>
          <w:sz w:val="24"/>
          <w:szCs w:val="24"/>
          <w:lang w:val="en-US" w:eastAsia="zh-CN"/>
        </w:rPr>
        <w:t>符合网上竞价文件要求的供应商</w:t>
      </w:r>
      <w:r>
        <w:rPr>
          <w:rFonts w:hint="eastAsia" w:ascii="宋体" w:hAnsi="宋体" w:eastAsia="宋体" w:cs="宋体"/>
          <w:sz w:val="24"/>
          <w:szCs w:val="24"/>
        </w:rPr>
        <w:t>的报价，有可能影响产品质量或不能诚信履约的，</w:t>
      </w:r>
      <w:r>
        <w:rPr>
          <w:rFonts w:hint="eastAsia" w:ascii="宋体" w:hAnsi="宋体" w:eastAsia="宋体" w:cs="宋体"/>
          <w:sz w:val="24"/>
          <w:szCs w:val="24"/>
          <w:lang w:val="en-US" w:eastAsia="zh-CN"/>
        </w:rPr>
        <w:t>将</w:t>
      </w:r>
      <w:r>
        <w:rPr>
          <w:rFonts w:hint="eastAsia" w:ascii="宋体" w:hAnsi="宋体" w:eastAsia="宋体" w:cs="宋体"/>
          <w:sz w:val="24"/>
          <w:szCs w:val="24"/>
        </w:rPr>
        <w:t>要求其在合理的时间内提供书面说明，必要时还要求其一并提交有关证明材料；</w:t>
      </w:r>
      <w:r>
        <w:rPr>
          <w:rFonts w:hint="eastAsia" w:ascii="宋体" w:hAnsi="宋体" w:eastAsia="宋体" w:cs="宋体"/>
          <w:sz w:val="24"/>
          <w:szCs w:val="24"/>
          <w:lang w:val="en-US" w:eastAsia="zh-CN"/>
        </w:rPr>
        <w:t>供应商</w:t>
      </w:r>
      <w:r>
        <w:rPr>
          <w:rFonts w:hint="eastAsia" w:ascii="宋体" w:hAnsi="宋体" w:eastAsia="宋体" w:cs="宋体"/>
          <w:sz w:val="24"/>
          <w:szCs w:val="24"/>
        </w:rPr>
        <w:t>不能证明其报价合理性的，将其作为报价无效处理</w:t>
      </w:r>
      <w:r>
        <w:rPr>
          <w:rFonts w:hint="eastAsia" w:ascii="宋体" w:hAnsi="宋体" w:eastAsia="宋体" w:cs="宋体"/>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079AEF74">
      <w:pPr>
        <w:keepNext w:val="0"/>
        <w:keepLines w:val="0"/>
        <w:pageBreakBefore w:val="0"/>
        <w:widowControl/>
        <w:kinsoku/>
        <w:wordWrap/>
        <w:overflowPunct/>
        <w:topLinePunct w:val="0"/>
        <w:autoSpaceDE/>
        <w:autoSpaceDN/>
        <w:bidi w:val="0"/>
        <w:adjustRightInd/>
        <w:spacing w:line="420" w:lineRule="exact"/>
        <w:ind w:firstLine="480" w:firstLineChars="200"/>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w:t>
      </w:r>
    </w:p>
    <w:p w14:paraId="73C35127">
      <w:pPr>
        <w:keepNext w:val="0"/>
        <w:keepLines w:val="0"/>
        <w:pageBreakBefore w:val="0"/>
        <w:widowControl/>
        <w:kinsoku/>
        <w:wordWrap/>
        <w:overflowPunct/>
        <w:topLinePunct w:val="0"/>
        <w:autoSpaceDE/>
        <w:autoSpaceDN/>
        <w:bidi w:val="0"/>
        <w:adjustRightInd/>
        <w:spacing w:line="420" w:lineRule="exact"/>
        <w:jc w:val="left"/>
        <w:textAlignment w:val="auto"/>
        <w:rPr>
          <w:rFonts w:hint="eastAsia" w:ascii="宋体" w:hAnsi="宋体" w:cs="宋体"/>
          <w:bCs/>
          <w:color w:val="auto"/>
          <w:kern w:val="0"/>
          <w:sz w:val="24"/>
          <w:highlight w:val="none"/>
        </w:rPr>
      </w:pPr>
      <w:r>
        <w:rPr>
          <w:rFonts w:hint="eastAsia" w:ascii="宋体" w:hAnsi="宋体" w:cs="宋体"/>
          <w:bCs/>
          <w:color w:val="auto"/>
          <w:kern w:val="0"/>
          <w:sz w:val="24"/>
          <w:highlight w:val="none"/>
        </w:rPr>
        <w:t>之日起1个工作日），结果公告发布的同时，采购代理机构将向成交供应商发出成交通知书。</w:t>
      </w:r>
    </w:p>
    <w:p w14:paraId="4832CAA4">
      <w:pPr>
        <w:keepNext w:val="0"/>
        <w:keepLines w:val="0"/>
        <w:pageBreakBefore w:val="0"/>
        <w:widowControl/>
        <w:kinsoku/>
        <w:wordWrap/>
        <w:overflowPunct/>
        <w:topLinePunct w:val="0"/>
        <w:autoSpaceDE/>
        <w:autoSpaceDN/>
        <w:bidi w:val="0"/>
        <w:adjustRightInd/>
        <w:spacing w:line="420" w:lineRule="exact"/>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29"/>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29"/>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（1）除因不可抗力或网上竞价文件认可的情形以外，成交供应商不与采购人签订合同或不能履约的；</w:t>
      </w:r>
    </w:p>
    <w:p w14:paraId="201A7E4F">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（2）成交供应商自动放弃成交资格的；</w:t>
      </w:r>
    </w:p>
    <w:p w14:paraId="39FAF5FC">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（3）</w:t>
      </w:r>
      <w:r>
        <w:rPr>
          <w:rStyle w:val="29"/>
          <w:rFonts w:hint="eastAsia"/>
          <w:color w:val="auto"/>
          <w:kern w:val="0"/>
          <w:sz w:val="24"/>
          <w:highlight w:val="none"/>
        </w:rPr>
        <w:t>供应商</w:t>
      </w:r>
      <w:r>
        <w:rPr>
          <w:rFonts w:hint="eastAsia"/>
          <w:color w:val="auto"/>
          <w:kern w:val="2"/>
          <w:highlight w:val="none"/>
        </w:rPr>
        <w:t>假借以他人名义参加竞价或者弄虚作假，骗取成交；</w:t>
      </w:r>
    </w:p>
    <w:p w14:paraId="5D3973BB">
      <w:pPr>
        <w:pStyle w:val="16"/>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color w:val="auto"/>
          <w:kern w:val="2"/>
          <w:highlight w:val="none"/>
        </w:rPr>
      </w:pPr>
      <w:r>
        <w:rPr>
          <w:rFonts w:hint="eastAsia"/>
          <w:color w:val="auto"/>
          <w:kern w:val="2"/>
          <w:highlight w:val="none"/>
        </w:rPr>
        <w:t>（4）国家法律法规以及网上竞价文件中规定的其他竞价保证金不予退还的情形。</w:t>
      </w:r>
    </w:p>
    <w:p w14:paraId="4A253A45">
      <w:pPr>
        <w:spacing w:line="360" w:lineRule="auto"/>
        <w:jc w:val="center"/>
        <w:rPr>
          <w:rFonts w:ascii="宋体" w:hAnsi="宋体" w:cs="宋体"/>
          <w:b/>
          <w:color w:val="auto"/>
          <w:kern w:val="0"/>
          <w:sz w:val="32"/>
          <w:szCs w:val="32"/>
          <w:highlight w:val="none"/>
        </w:rPr>
      </w:pPr>
    </w:p>
    <w:p w14:paraId="539EB98B">
      <w:pPr>
        <w:pStyle w:val="4"/>
        <w:spacing w:line="360" w:lineRule="auto"/>
        <w:rPr>
          <w:rFonts w:hint="default"/>
          <w:color w:val="auto"/>
          <w:highlight w:val="none"/>
        </w:rPr>
      </w:pPr>
    </w:p>
    <w:p w14:paraId="31890B78">
      <w:pPr>
        <w:spacing w:line="360" w:lineRule="auto"/>
        <w:rPr>
          <w:rFonts w:ascii="宋体" w:hAnsi="宋体" w:cs="宋体"/>
          <w:b/>
          <w:color w:val="auto"/>
          <w:kern w:val="0"/>
          <w:sz w:val="32"/>
          <w:szCs w:val="32"/>
          <w:highlight w:val="none"/>
        </w:rPr>
      </w:pP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80"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30567034"/>
      <w:bookmarkStart w:id="5" w:name="_Toc346300367"/>
      <w:bookmarkStart w:id="6" w:name="_Toc347060296"/>
      <w:r>
        <w:rPr>
          <w:rFonts w:hint="eastAsia" w:ascii="宋体" w:hAnsi="宋体" w:cs="宋体"/>
          <w:b/>
          <w:color w:val="auto"/>
          <w:sz w:val="24"/>
          <w:szCs w:val="24"/>
          <w:highlight w:val="none"/>
        </w:rPr>
        <w:t>一、项目概述</w:t>
      </w:r>
      <w:bookmarkEnd w:id="1"/>
      <w:bookmarkEnd w:id="2"/>
    </w:p>
    <w:p w14:paraId="401C1468">
      <w:pPr>
        <w:pStyle w:val="31"/>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hint="eastAsia"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0"/>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20"/>
        <w:gridCol w:w="1680"/>
        <w:gridCol w:w="1425"/>
        <w:gridCol w:w="1965"/>
        <w:gridCol w:w="1245"/>
        <w:gridCol w:w="1065"/>
        <w:gridCol w:w="1242"/>
      </w:tblGrid>
      <w:tr w14:paraId="176E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15BC05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6B5DD48">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0210AAF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标的名称</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28ED9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02FDF85C">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技术和</w:t>
            </w:r>
            <w:r>
              <w:rPr>
                <w:rFonts w:hint="eastAsia" w:ascii="宋体" w:hAnsi="宋体"/>
                <w:b/>
                <w:bCs/>
                <w:color w:val="auto"/>
                <w:kern w:val="0"/>
                <w:sz w:val="24"/>
                <w:szCs w:val="24"/>
                <w:highlight w:val="none"/>
                <w:lang w:eastAsia="zh-CN"/>
              </w:rPr>
              <w:t>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886278E">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暂估数量</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DBA846">
            <w:pPr>
              <w:keepNext w:val="0"/>
              <w:keepLines w:val="0"/>
              <w:pageBreakBefore w:val="0"/>
              <w:kinsoku/>
              <w:wordWrap/>
              <w:overflowPunct/>
              <w:topLinePunct w:val="0"/>
              <w:autoSpaceDE/>
              <w:autoSpaceDN/>
              <w:bidi w:val="0"/>
              <w:adjustRightInd/>
              <w:snapToGrid/>
              <w:spacing w:line="36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单价最高限价</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4EC53F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6214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14:paraId="52EBD780">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385092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401E068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饮用桶装水</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96E6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2115157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cs="宋体"/>
                <w:b w:val="0"/>
                <w:bCs w:val="0"/>
                <w:color w:val="auto"/>
                <w:kern w:val="0"/>
                <w:sz w:val="24"/>
                <w:szCs w:val="24"/>
                <w:highlight w:val="none"/>
                <w:lang w:val="en-US" w:eastAsia="zh-CN"/>
              </w:rPr>
              <w:t>详见“第三章 网上竞价内容及要求二、技术和服务要求”</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B93FE2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12250桶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FBE49A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8.00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10524C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98000.00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6801B541">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lang w:val="en-US" w:eastAsia="zh-CN" w:bidi="ar-SA"/>
        </w:rPr>
        <w:t>3、</w:t>
      </w:r>
      <w:r>
        <w:rPr>
          <w:rFonts w:hint="eastAsia" w:ascii="宋体" w:hAnsi="宋体" w:cs="宋体"/>
          <w:color w:val="auto"/>
          <w:kern w:val="0"/>
          <w:sz w:val="24"/>
          <w:szCs w:val="24"/>
          <w:highlight w:val="none"/>
          <w:lang w:val="en-US" w:eastAsia="zh-CN" w:bidi="ar-SA"/>
        </w:rPr>
        <w:t>本项目采购数量为暂估数量，最终结算按实际所供数量进行结算。</w:t>
      </w:r>
    </w:p>
    <w:p w14:paraId="2F6B94E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w:t>
      </w:r>
      <w:r>
        <w:rPr>
          <w:rFonts w:hint="eastAsia" w:ascii="宋体" w:hAnsi="宋体" w:cs="宋体"/>
          <w:color w:val="auto"/>
          <w:kern w:val="0"/>
          <w:sz w:val="24"/>
          <w:szCs w:val="24"/>
          <w:highlight w:val="none"/>
          <w:lang w:val="en-US" w:eastAsia="zh-CN" w:bidi="ar-SA"/>
        </w:rPr>
        <w:t>含但不限于</w:t>
      </w:r>
      <w:r>
        <w:rPr>
          <w:rFonts w:hint="eastAsia" w:ascii="宋体" w:hAnsi="宋体" w:eastAsia="宋体" w:cs="宋体"/>
          <w:color w:val="auto"/>
          <w:sz w:val="24"/>
          <w:szCs w:val="24"/>
        </w:rPr>
        <w:t>包装、运输费</w:t>
      </w:r>
      <w:r>
        <w:rPr>
          <w:rFonts w:hint="eastAsia" w:ascii="宋体" w:hAnsi="宋体" w:cs="宋体"/>
          <w:color w:val="auto"/>
          <w:sz w:val="24"/>
          <w:szCs w:val="24"/>
          <w:lang w:eastAsia="zh-CN"/>
        </w:rPr>
        <w:t>、</w:t>
      </w:r>
      <w:r>
        <w:rPr>
          <w:rFonts w:hint="eastAsia" w:ascii="宋体" w:hAnsi="宋体" w:eastAsia="宋体" w:cs="宋体"/>
          <w:color w:val="auto"/>
          <w:sz w:val="24"/>
          <w:szCs w:val="24"/>
        </w:rPr>
        <w:t>保险费、税费以及履行本项目合同所需的一切费用</w:t>
      </w:r>
      <w:r>
        <w:rPr>
          <w:rFonts w:hint="eastAsia" w:ascii="宋体" w:hAnsi="宋体" w:eastAsia="宋体" w:cs="宋体"/>
          <w:color w:val="auto"/>
          <w:kern w:val="0"/>
          <w:sz w:val="24"/>
          <w:szCs w:val="24"/>
          <w:highlight w:val="none"/>
          <w:lang w:val="en-US" w:eastAsia="zh-CN" w:bidi="ar-SA"/>
        </w:rPr>
        <w:t>。</w:t>
      </w:r>
    </w:p>
    <w:p w14:paraId="442EA31C">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1F31E60B">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1、可直饮纯净水，每桶≥15L；</w:t>
      </w:r>
    </w:p>
    <w:p w14:paraId="64F0D53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 xml:space="preserve">2、所供产品符合国家行业质量标准要求，具有产品检验合格证； </w:t>
      </w:r>
    </w:p>
    <w:p w14:paraId="53E0E06A">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3、水质要求：色度（度）：≤10；浑浊度（NTU）：≤1；滋味、气味：无异味、无异嗅；</w:t>
      </w:r>
    </w:p>
    <w:p w14:paraId="312C83ED">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状态：允许有极少量的矿物质沉淀，无正常视力可见外来异物；铅（以Pb计）（mg/L）:≤0.01；镉（以Cd计）（mg/L）:≤0.005；总砷（以As计）（mg/L）：≤0.01；亚硝酸盐（以NO₂计）（mg/L）：≤0.005；溴酸盐（mg/L）:≤0.01。</w:t>
      </w:r>
      <w:r>
        <w:rPr>
          <w:rFonts w:hint="eastAsia" w:ascii="宋体" w:hAnsi="宋体" w:cs="新宋体"/>
          <w:b/>
          <w:bCs/>
          <w:color w:val="auto"/>
          <w:kern w:val="0"/>
          <w:sz w:val="24"/>
          <w:szCs w:val="24"/>
          <w:highlight w:val="none"/>
          <w:lang w:val="en-US" w:eastAsia="zh-CN"/>
        </w:rPr>
        <w:t>（需提供投标截止时间前具有检测资质的第三方检测机构出具的具有“CMA”或“CNAS”标识的检验合格的检验报告复印件）</w:t>
      </w:r>
    </w:p>
    <w:p w14:paraId="7CA8190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4、纯净水桶材质为PC桶全新透明料生产，水桶壁厚大于2mm，桶表面保持洁净无垢，商标清晰、规范，桶装饮用水有外包装袋，包装及外部设备符合国家标准的有关安全和卫生要求；</w:t>
      </w:r>
    </w:p>
    <w:p w14:paraId="168EFA1E">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5、供应商须提供不少于2个自2023年1月1日起至投标截止时间止服务大客户的合同复印件及相关发票复印件。</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cs="宋体"/>
          <w:b w:val="0"/>
          <w:bCs w:val="0"/>
          <w:color w:val="auto"/>
          <w:kern w:val="0"/>
          <w:sz w:val="24"/>
          <w:szCs w:val="24"/>
          <w:highlight w:val="none"/>
          <w:lang w:val="en-US" w:eastAsia="zh-CN"/>
        </w:rPr>
        <w:t>采购人指定地点</w:t>
      </w:r>
      <w:r>
        <w:rPr>
          <w:rFonts w:hint="eastAsia" w:ascii="宋体" w:hAnsi="宋体" w:eastAsia="宋体" w:cs="宋体"/>
          <w:b w:val="0"/>
          <w:bCs w:val="0"/>
          <w:color w:val="auto"/>
          <w:kern w:val="0"/>
          <w:sz w:val="24"/>
          <w:szCs w:val="24"/>
          <w:highlight w:val="none"/>
        </w:rPr>
        <w:t>。</w:t>
      </w:r>
    </w:p>
    <w:p w14:paraId="6AF46AF8">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Times New Roman"/>
          <w:b w:val="0"/>
          <w:bCs w:val="0"/>
          <w:color w:val="auto"/>
          <w:kern w:val="0"/>
          <w:sz w:val="24"/>
          <w:szCs w:val="24"/>
          <w:highlight w:val="none"/>
          <w:lang w:val="en-US" w:eastAsia="zh-CN"/>
        </w:rPr>
        <w:t>自签订合同之日起</w:t>
      </w:r>
      <w:r>
        <w:rPr>
          <w:rFonts w:hint="eastAsia" w:ascii="宋体" w:hAnsi="宋体" w:cs="Times New Roman"/>
          <w:b w:val="0"/>
          <w:bCs w:val="0"/>
          <w:color w:val="auto"/>
          <w:kern w:val="0"/>
          <w:sz w:val="24"/>
          <w:szCs w:val="24"/>
          <w:highlight w:val="none"/>
          <w:lang w:val="en-US" w:eastAsia="zh-CN"/>
        </w:rPr>
        <w:t>2</w:t>
      </w:r>
      <w:r>
        <w:rPr>
          <w:rFonts w:hint="eastAsia" w:ascii="宋体" w:hAnsi="宋体" w:eastAsia="宋体" w:cs="Times New Roman"/>
          <w:b w:val="0"/>
          <w:bCs w:val="0"/>
          <w:color w:val="auto"/>
          <w:kern w:val="0"/>
          <w:sz w:val="24"/>
          <w:szCs w:val="24"/>
          <w:highlight w:val="none"/>
          <w:lang w:val="en-US" w:eastAsia="zh-CN"/>
        </w:rPr>
        <w:t>年</w:t>
      </w:r>
      <w:r>
        <w:rPr>
          <w:rFonts w:hint="eastAsia" w:ascii="宋体" w:hAnsi="宋体" w:cs="Times New Roman"/>
          <w:b w:val="0"/>
          <w:bCs w:val="0"/>
          <w:color w:val="auto"/>
          <w:kern w:val="0"/>
          <w:sz w:val="24"/>
          <w:szCs w:val="24"/>
          <w:highlight w:val="none"/>
          <w:lang w:val="en-US" w:eastAsia="zh-CN"/>
        </w:rPr>
        <w:t>（接到采购人通知后按需求的数量送货）</w:t>
      </w:r>
      <w:r>
        <w:rPr>
          <w:rFonts w:hint="eastAsia" w:ascii="宋体" w:hAnsi="宋体" w:cs="宋体"/>
          <w:b w:val="0"/>
          <w:bCs w:val="0"/>
          <w:color w:val="auto"/>
          <w:kern w:val="0"/>
          <w:sz w:val="24"/>
          <w:szCs w:val="24"/>
          <w:highlight w:val="none"/>
          <w:lang w:val="en-US" w:eastAsia="zh-CN"/>
        </w:rPr>
        <w:t>。</w:t>
      </w:r>
    </w:p>
    <w:p w14:paraId="56FD805B">
      <w:pPr>
        <w:pStyle w:val="9"/>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eastAsia="宋体" w:cs="宋体"/>
          <w:b w:val="0"/>
          <w:bCs w:val="0"/>
          <w:color w:val="auto"/>
          <w:kern w:val="0"/>
          <w:sz w:val="24"/>
          <w:szCs w:val="24"/>
          <w:highlight w:val="none"/>
        </w:rPr>
        <w:t>按照采购人的要求定时定点专人配送至采购人指定地点。</w:t>
      </w:r>
    </w:p>
    <w:p w14:paraId="77EAC743">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val="0"/>
        <w:wordWrap/>
        <w:overflowPunct w:val="0"/>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eastAsia="宋体" w:cs="宋体"/>
          <w:b w:val="0"/>
          <w:bCs w:val="0"/>
          <w:color w:val="auto"/>
          <w:sz w:val="24"/>
          <w:szCs w:val="24"/>
          <w:highlight w:val="none"/>
        </w:rPr>
        <w:t>按月支付，成交供应商于下个月10号前提交上个月的付款申请和送水清单，采购人确认无异议后，在收到成交供应商提交的发票等相关付款申请材料后</w:t>
      </w:r>
      <w:r>
        <w:rPr>
          <w:rFonts w:hint="eastAsia" w:ascii="宋体" w:hAnsi="宋体" w:cs="宋体"/>
          <w:b w:val="0"/>
          <w:bCs w:val="0"/>
          <w:color w:val="auto"/>
          <w:sz w:val="24"/>
          <w:szCs w:val="24"/>
          <w:highlight w:val="none"/>
          <w:lang w:val="en-US" w:eastAsia="zh-CN"/>
        </w:rPr>
        <w:t>10个工作日</w:t>
      </w:r>
      <w:r>
        <w:rPr>
          <w:rFonts w:hint="eastAsia" w:ascii="宋体" w:hAnsi="宋体" w:eastAsia="宋体" w:cs="宋体"/>
          <w:b w:val="0"/>
          <w:bCs w:val="0"/>
          <w:color w:val="auto"/>
          <w:sz w:val="24"/>
          <w:szCs w:val="24"/>
          <w:highlight w:val="none"/>
        </w:rPr>
        <w:t>内完成支付。</w:t>
      </w:r>
    </w:p>
    <w:p w14:paraId="18929153">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ascii="宋体" w:hAnsi="宋体" w:cs="宋体"/>
          <w:b w:val="0"/>
          <w:bCs w:val="0"/>
          <w:color w:val="auto"/>
          <w:kern w:val="0"/>
          <w:sz w:val="24"/>
          <w:szCs w:val="24"/>
          <w:highlight w:val="none"/>
          <w:lang w:val="en-US" w:eastAsia="zh-CN" w:bidi="ar-SA"/>
        </w:rPr>
        <w:t>不缴纳</w:t>
      </w:r>
      <w:r>
        <w:rPr>
          <w:rFonts w:hint="eastAsia" w:cs="宋体"/>
          <w:b w:val="0"/>
          <w:bCs w:val="0"/>
          <w:color w:val="auto"/>
          <w:kern w:val="0"/>
          <w:sz w:val="24"/>
          <w:szCs w:val="24"/>
          <w:highlight w:val="none"/>
          <w:lang w:val="en-US" w:eastAsia="zh-CN" w:bidi="ar-SA"/>
        </w:rPr>
        <w:t>。</w:t>
      </w:r>
    </w:p>
    <w:p w14:paraId="2805B291">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8、包装：</w:t>
      </w:r>
    </w:p>
    <w:p w14:paraId="56202280">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8.1货物交货时应按国家有关标准要求进行包装。</w:t>
      </w:r>
    </w:p>
    <w:p w14:paraId="7DD1E40B">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8.2包装必须与运输方式相适应，包装方式的确定及包装费用均由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负责；由于不适当的包装而造成货物在运输过程中有任何损坏由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负责。</w:t>
      </w:r>
    </w:p>
    <w:p w14:paraId="21E06DA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8.3包装应足以承受整个过程中的运输、转运、装卸、储存等，充分考虑到运输途中的各种情况(如暴露于恶劣气候等)和项目所在地的气候特点，以及露天存放的需要。</w:t>
      </w:r>
    </w:p>
    <w:p w14:paraId="4E4A204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bidi="ar-SA"/>
        </w:rPr>
      </w:pPr>
      <w:r>
        <w:rPr>
          <w:rFonts w:hint="eastAsia" w:asciiTheme="minorEastAsia" w:hAnsiTheme="minorEastAsia" w:eastAsiaTheme="minorEastAsia" w:cstheme="minorEastAsia"/>
          <w:b/>
          <w:bCs w:val="0"/>
          <w:sz w:val="24"/>
          <w:szCs w:val="24"/>
          <w:shd w:val="clear" w:fill="FFFFFF"/>
          <w:lang w:val="en-US" w:eastAsia="zh-CN" w:bidi="ar-SA"/>
        </w:rPr>
        <w:t>9、验收要求：</w:t>
      </w:r>
    </w:p>
    <w:p w14:paraId="799B047F">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9.1产品到达收货地点时，由采购人对产品的名称、品牌型号、数量、制造商标识、产地、出厂日期、保质期、交货时间等进行验收，成交供应商提供的产品不满足要求的，采购人将拒绝验收，由此带来的一切损失将由供应商负责。采购人验收时须填写采购验收单，确认产品符合要求后采购人工作人员在验收单上签字确认。</w:t>
      </w:r>
    </w:p>
    <w:p w14:paraId="69509A14">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9.2在合同期间，采购人可随时对</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未开封的桶装水进行水质抽检，若发现</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提供的桶装水未达到国家质量标准，采购人有权拒付本月桶装水费用并终止合同，且此次抽检费用由</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承担。</w:t>
      </w:r>
    </w:p>
    <w:p w14:paraId="3A2860C9">
      <w:pPr>
        <w:pStyle w:val="3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bCs w:val="0"/>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bidi="ar-SA"/>
        </w:rPr>
        <w:t>10、</w:t>
      </w:r>
      <w:r>
        <w:rPr>
          <w:rFonts w:hint="eastAsia" w:asciiTheme="minorEastAsia" w:hAnsiTheme="minorEastAsia" w:eastAsiaTheme="minorEastAsia" w:cstheme="minorEastAsia"/>
          <w:b/>
          <w:bCs w:val="0"/>
          <w:sz w:val="24"/>
          <w:szCs w:val="24"/>
          <w:shd w:val="clear" w:fill="FFFFFF"/>
          <w:lang w:val="en-US" w:eastAsia="zh-CN"/>
        </w:rPr>
        <w:t>售后服务：</w:t>
      </w:r>
    </w:p>
    <w:p w14:paraId="1F43F0C8">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10.1</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必须严格按照现行饮用桶装水国家标准向采购人提供合格的产品；若国家颁发了最新标准，则立即参照最新标准执行。</w:t>
      </w:r>
    </w:p>
    <w:p w14:paraId="6621E7D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val="0"/>
          <w:bCs/>
          <w:sz w:val="24"/>
          <w:szCs w:val="24"/>
          <w:shd w:val="clear" w:fill="FFFFFF"/>
          <w:lang w:val="en-US" w:eastAsia="zh-CN"/>
        </w:rPr>
        <w:t>10.2</w:t>
      </w:r>
      <w:r>
        <w:rPr>
          <w:rFonts w:hint="eastAsia" w:asciiTheme="minorEastAsia" w:hAnsiTheme="minorEastAsia" w:eastAsiaTheme="minorEastAsia" w:cstheme="minorEastAsia"/>
          <w:b w:val="0"/>
          <w:bCs w:val="0"/>
          <w:color w:val="auto"/>
          <w:kern w:val="0"/>
          <w:sz w:val="24"/>
          <w:szCs w:val="24"/>
          <w:highlight w:val="none"/>
          <w:lang w:eastAsia="zh-CN"/>
        </w:rPr>
        <w:t>成交供应商</w:t>
      </w:r>
      <w:r>
        <w:rPr>
          <w:rFonts w:hint="eastAsia" w:asciiTheme="minorEastAsia" w:hAnsiTheme="minorEastAsia" w:eastAsiaTheme="minorEastAsia" w:cstheme="minorEastAsia"/>
          <w:b w:val="0"/>
          <w:bCs/>
          <w:sz w:val="24"/>
          <w:szCs w:val="24"/>
          <w:shd w:val="clear" w:fill="FFFFFF"/>
          <w:lang w:val="en-US" w:eastAsia="zh-CN"/>
        </w:rPr>
        <w:t>必须保障水的正常供应，安排专职人员按照采购人的要求定时定点送至采购人指定地点，并承担桶装水出厂送至采购人过程的所有费用，配送专人需遵守采购人的规章和制度要求。</w:t>
      </w:r>
    </w:p>
    <w:p w14:paraId="66485C6F">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b/>
          <w:bCs w:val="0"/>
          <w:sz w:val="24"/>
          <w:szCs w:val="24"/>
          <w:shd w:val="clear" w:fill="FFFFFF"/>
          <w:lang w:val="en-US" w:eastAsia="zh-CN"/>
        </w:rPr>
        <w:t>10.3成交供应商须为采购</w:t>
      </w:r>
      <w:r>
        <w:rPr>
          <w:rFonts w:hint="eastAsia" w:asciiTheme="minorEastAsia" w:hAnsiTheme="minorEastAsia" w:eastAsiaTheme="minorEastAsia" w:cstheme="minorEastAsia"/>
          <w:b/>
          <w:bCs w:val="0"/>
          <w:sz w:val="24"/>
          <w:szCs w:val="24"/>
          <w:highlight w:val="none"/>
          <w:shd w:val="clear" w:fill="FFFFFF"/>
          <w:lang w:val="en-US" w:eastAsia="zh-CN"/>
        </w:rPr>
        <w:t>人提供饮水机13台、空桶200桶，</w:t>
      </w:r>
      <w:r>
        <w:rPr>
          <w:rFonts w:hint="eastAsia" w:asciiTheme="minorEastAsia" w:hAnsiTheme="minorEastAsia" w:eastAsiaTheme="minorEastAsia" w:cstheme="minorEastAsia"/>
          <w:b/>
          <w:bCs w:val="0"/>
          <w:sz w:val="24"/>
          <w:szCs w:val="24"/>
          <w:shd w:val="clear" w:fill="FFFFFF"/>
          <w:lang w:val="en-US" w:eastAsia="zh-CN"/>
        </w:rPr>
        <w:t>并定期检查饮用水是否超过最佳饮用日期，每个月对饮水机进行消毒。</w:t>
      </w:r>
    </w:p>
    <w:p w14:paraId="3FD233BE">
      <w:pPr>
        <w:pStyle w:val="33"/>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shd w:val="clear" w:fill="FFFFFF"/>
          <w:lang w:val="en-US" w:eastAsia="zh-CN"/>
        </w:rPr>
        <w:t>11</w:t>
      </w:r>
      <w:r>
        <w:rPr>
          <w:rFonts w:hint="eastAsia" w:asciiTheme="minorEastAsia" w:hAnsiTheme="minorEastAsia" w:eastAsiaTheme="minorEastAsia" w:cstheme="minorEastAsia"/>
          <w:b/>
          <w:sz w:val="24"/>
          <w:szCs w:val="24"/>
          <w:shd w:val="clear" w:fill="FFFFFF"/>
        </w:rPr>
        <w:t>、违约责任</w:t>
      </w:r>
      <w:r>
        <w:rPr>
          <w:rFonts w:hint="eastAsia" w:asciiTheme="minorEastAsia" w:hAnsiTheme="minorEastAsia" w:eastAsiaTheme="minorEastAsia" w:cstheme="minorEastAsia"/>
          <w:b/>
          <w:sz w:val="24"/>
          <w:szCs w:val="24"/>
          <w:shd w:val="clear" w:fill="FFFFFF"/>
          <w:lang w:eastAsia="zh-CN"/>
        </w:rPr>
        <w:t>：</w:t>
      </w:r>
    </w:p>
    <w:p w14:paraId="2AB8D266">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b w:val="0"/>
          <w:bCs/>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.1因</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原因造成采购合同无法按时签订，视为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w:t>
      </w:r>
      <w:r>
        <w:rPr>
          <w:rFonts w:hint="eastAsia" w:asciiTheme="minorEastAsia" w:hAnsiTheme="minorEastAsia" w:eastAsiaTheme="minorEastAsia" w:cstheme="minorEastAsia"/>
          <w:b w:val="0"/>
          <w:bCs/>
          <w:sz w:val="24"/>
          <w:szCs w:val="24"/>
          <w:shd w:val="clear" w:fill="FFFFFF"/>
          <w:lang w:val="en-US" w:eastAsia="zh-CN"/>
        </w:rPr>
        <w:t>成交供应商</w:t>
      </w:r>
    </w:p>
    <w:p w14:paraId="16D754A2">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rPr>
        <w:t>违约对采购人造成的损失的，需另行支付相应的赔偿，采购人有权单方面解除合同。</w:t>
      </w:r>
    </w:p>
    <w:p w14:paraId="16EAC4CA">
      <w:pPr>
        <w:pStyle w:val="33"/>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.2在签订采购合同之后，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要求解除合同的，视为</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违约，对采购</w:t>
      </w:r>
    </w:p>
    <w:p w14:paraId="3C3A51CE">
      <w:pPr>
        <w:pStyle w:val="3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rPr>
        <w:t>人造成的损失的，</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需支付相应的赔偿，采购人有权单方面解除合同。</w:t>
      </w:r>
    </w:p>
    <w:p w14:paraId="61339E01">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11.3在合同期间，因成交供应商提供饮用水质量或饮水机、饮水桶管理问题引起的事故，采购人有权拒付本月桶装水费用并终止合同，且成交供应商应承担由此造成的经济赔偿责任。</w:t>
      </w:r>
    </w:p>
    <w:p w14:paraId="4E55C56E">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11.4因成交供应商原因发生重大质量事故，除依约承担赔偿责任外，还将按有关质量管理办法规定执行。同时，采购人有权保留更换成交供应商的权利，并报相关行政主管部门处罚。</w:t>
      </w:r>
    </w:p>
    <w:p w14:paraId="4498816A">
      <w:pPr>
        <w:pStyle w:val="33"/>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fill="FFFFFF"/>
          <w:lang w:val="en-US" w:eastAsia="zh-CN"/>
        </w:rPr>
        <w:t>11</w:t>
      </w:r>
      <w:r>
        <w:rPr>
          <w:rFonts w:hint="eastAsia" w:asciiTheme="minorEastAsia" w:hAnsiTheme="minorEastAsia" w:eastAsiaTheme="minorEastAsia" w:cstheme="minorEastAsia"/>
          <w:sz w:val="24"/>
          <w:szCs w:val="24"/>
          <w:shd w:val="clear" w:fill="FFFFFF"/>
        </w:rPr>
        <w:t>.</w:t>
      </w: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在明确违约责任后，</w:t>
      </w:r>
      <w:r>
        <w:rPr>
          <w:rFonts w:hint="eastAsia" w:asciiTheme="minorEastAsia" w:hAnsiTheme="minorEastAsia" w:eastAsiaTheme="minorEastAsia" w:cstheme="minorEastAsia"/>
          <w:b w:val="0"/>
          <w:bCs/>
          <w:sz w:val="24"/>
          <w:szCs w:val="24"/>
          <w:shd w:val="clear" w:fill="FFFFFF"/>
          <w:lang w:val="en-US" w:eastAsia="zh-CN"/>
        </w:rPr>
        <w:t>成交供应商</w:t>
      </w:r>
      <w:r>
        <w:rPr>
          <w:rFonts w:hint="eastAsia" w:asciiTheme="minorEastAsia" w:hAnsiTheme="minorEastAsia" w:eastAsiaTheme="minorEastAsia" w:cstheme="minorEastAsia"/>
          <w:sz w:val="24"/>
          <w:szCs w:val="24"/>
          <w:shd w:val="clear" w:fill="FFFFFF"/>
        </w:rPr>
        <w:t>应在接到书面通知书起七</w:t>
      </w:r>
      <w:r>
        <w:rPr>
          <w:rFonts w:hint="eastAsia" w:asciiTheme="minorEastAsia" w:hAnsiTheme="minorEastAsia" w:eastAsiaTheme="minorEastAsia" w:cstheme="minorEastAsia"/>
          <w:sz w:val="24"/>
          <w:szCs w:val="24"/>
          <w:shd w:val="clear" w:fill="FFFFFF"/>
          <w:lang w:eastAsia="zh-CN"/>
        </w:rPr>
        <w:t>日</w:t>
      </w:r>
      <w:r>
        <w:rPr>
          <w:rFonts w:hint="eastAsia" w:asciiTheme="minorEastAsia" w:hAnsiTheme="minorEastAsia" w:eastAsiaTheme="minorEastAsia" w:cstheme="minorEastAsia"/>
          <w:sz w:val="24"/>
          <w:szCs w:val="24"/>
          <w:shd w:val="clear" w:fill="FFFFFF"/>
        </w:rPr>
        <w:t>内支付违约金、赔偿金等。</w:t>
      </w:r>
    </w:p>
    <w:p w14:paraId="29BD0A7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b/>
          <w:bCs/>
          <w:szCs w:val="24"/>
          <w:lang w:val="en-US" w:eastAsia="zh-CN"/>
        </w:rPr>
        <w:t>12</w:t>
      </w:r>
      <w:r>
        <w:rPr>
          <w:rFonts w:hint="eastAsia" w:asciiTheme="minorEastAsia" w:hAnsiTheme="minorEastAsia" w:eastAsiaTheme="minorEastAsia" w:cstheme="minorEastAsia"/>
          <w:b/>
          <w:bCs/>
          <w:szCs w:val="24"/>
        </w:rPr>
        <w:t>、其他事项</w:t>
      </w:r>
      <w:r>
        <w:rPr>
          <w:rFonts w:hint="eastAsia" w:asciiTheme="minorEastAsia" w:hAnsiTheme="minorEastAsia" w:eastAsiaTheme="minorEastAsia" w:cstheme="minorEastAsia"/>
          <w:b/>
          <w:bCs/>
          <w:szCs w:val="24"/>
          <w:lang w:eastAsia="zh-CN"/>
        </w:rPr>
        <w:t>：</w:t>
      </w:r>
    </w:p>
    <w:p w14:paraId="4E8BAB40">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12.1供应商成交后，不得以任何理由将本项目分包、转包给第三方。</w:t>
      </w:r>
    </w:p>
    <w:p w14:paraId="726E4025">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12.2若出现有关法律、法规和规章有强制性规定但网上竞价文件未列明的情形，则供应商应按照有关法律、法规和规章强制性规定执行。</w:t>
      </w:r>
    </w:p>
    <w:p w14:paraId="24F1CEDB">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12.3本竞价文件未明确的其他约定事项或条款，待采购人与成交供应商签订合同时，由双方协商订立。</w:t>
      </w:r>
    </w:p>
    <w:p w14:paraId="3D9409A6"/>
    <w:p w14:paraId="5CB5AAA5">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b w:val="0"/>
          <w:bCs w:val="0"/>
          <w:sz w:val="24"/>
          <w:szCs w:val="24"/>
          <w:lang w:val="en-US" w:eastAsia="zh-CN"/>
        </w:rPr>
      </w:pPr>
    </w:p>
    <w:p w14:paraId="7BBA924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211C6C4">
      <w:pPr>
        <w:pStyle w:val="26"/>
        <w:rPr>
          <w:rFonts w:hint="eastAsia"/>
        </w:r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18"/>
        <w:spacing w:line="360" w:lineRule="auto"/>
        <w:ind w:firstLine="210"/>
        <w:rPr>
          <w:color w:val="auto"/>
          <w:highlight w:val="none"/>
        </w:rPr>
      </w:pPr>
    </w:p>
    <w:p w14:paraId="6326FD37">
      <w:pPr>
        <w:pStyle w:val="5"/>
        <w:spacing w:line="360" w:lineRule="auto"/>
        <w:rPr>
          <w:color w:val="auto"/>
          <w:highlight w:val="none"/>
        </w:rPr>
      </w:pPr>
    </w:p>
    <w:p w14:paraId="3FC45419">
      <w:pPr>
        <w:pStyle w:val="9"/>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28"/>
        <w:spacing w:after="120" w:line="360" w:lineRule="auto"/>
        <w:outlineLvl w:val="9"/>
        <w:rPr>
          <w:rStyle w:val="29"/>
          <w:rFonts w:hAnsi="宋体" w:cs="宋体"/>
          <w:b/>
          <w:bCs/>
          <w:color w:val="auto"/>
          <w:sz w:val="44"/>
          <w:szCs w:val="44"/>
          <w:highlight w:val="none"/>
        </w:rPr>
      </w:pPr>
    </w:p>
    <w:p w14:paraId="3006B5DF">
      <w:pPr>
        <w:pStyle w:val="28"/>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29"/>
          <w:rFonts w:hAnsi="宋体" w:cs="宋体"/>
          <w:b/>
          <w:bCs/>
          <w:color w:val="auto"/>
          <w:sz w:val="52"/>
          <w:szCs w:val="52"/>
          <w:highlight w:val="none"/>
        </w:rPr>
      </w:pPr>
      <w:r>
        <w:rPr>
          <w:rStyle w:val="29"/>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int="default" w:hAnsi="宋体" w:cs="宋体"/>
          <w:b/>
          <w:color w:val="auto"/>
          <w:sz w:val="30"/>
          <w:highlight w:val="none"/>
          <w:lang w:val="en-US"/>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28"/>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28"/>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28"/>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28"/>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28"/>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28"/>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2"/>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2"/>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45B6F00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28"/>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28"/>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022B2DC5">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28"/>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6"/>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6"/>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6"/>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6"/>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6"/>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6"/>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6"/>
        <w:spacing w:before="0" w:beforeAutospacing="0" w:after="0" w:afterAutospacing="0" w:line="360" w:lineRule="auto"/>
        <w:rPr>
          <w:color w:val="auto"/>
          <w:highlight w:val="none"/>
        </w:rPr>
      </w:pPr>
      <w:r>
        <w:rPr>
          <w:rFonts w:hint="eastAsia"/>
          <w:color w:val="auto"/>
          <w:highlight w:val="none"/>
        </w:rPr>
        <w:t> </w:t>
      </w:r>
    </w:p>
    <w:p w14:paraId="101C9A8E">
      <w:pPr>
        <w:pStyle w:val="16"/>
        <w:spacing w:before="0" w:beforeAutospacing="0" w:after="0" w:afterAutospacing="0" w:line="360" w:lineRule="auto"/>
        <w:rPr>
          <w:color w:val="auto"/>
          <w:highlight w:val="none"/>
        </w:rPr>
      </w:pPr>
      <w:r>
        <w:rPr>
          <w:rFonts w:hint="eastAsia"/>
          <w:color w:val="auto"/>
          <w:highlight w:val="none"/>
        </w:rPr>
        <w:t>授权方</w:t>
      </w:r>
    </w:p>
    <w:p w14:paraId="6CEE7BDA">
      <w:pPr>
        <w:pStyle w:val="16"/>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6"/>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6"/>
        <w:spacing w:before="0" w:beforeAutospacing="0" w:after="0" w:afterAutospacing="0" w:line="360" w:lineRule="auto"/>
        <w:rPr>
          <w:color w:val="auto"/>
          <w:highlight w:val="none"/>
        </w:rPr>
      </w:pPr>
      <w:r>
        <w:rPr>
          <w:rFonts w:hint="eastAsia"/>
          <w:color w:val="auto"/>
          <w:highlight w:val="none"/>
        </w:rPr>
        <w:t> </w:t>
      </w:r>
    </w:p>
    <w:p w14:paraId="3FC63835">
      <w:pPr>
        <w:pStyle w:val="16"/>
        <w:spacing w:before="0" w:beforeAutospacing="0" w:after="0" w:afterAutospacing="0" w:line="360" w:lineRule="auto"/>
        <w:rPr>
          <w:color w:val="auto"/>
          <w:highlight w:val="none"/>
        </w:rPr>
      </w:pPr>
      <w:r>
        <w:rPr>
          <w:rFonts w:hint="eastAsia"/>
          <w:color w:val="auto"/>
          <w:highlight w:val="none"/>
        </w:rPr>
        <w:t>接受授权方</w:t>
      </w:r>
    </w:p>
    <w:p w14:paraId="2AFDCDD4">
      <w:pPr>
        <w:pStyle w:val="16"/>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6"/>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6"/>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0"/>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6"/>
              <w:spacing w:before="0" w:beforeAutospacing="0" w:after="0" w:afterAutospacing="0" w:line="360" w:lineRule="auto"/>
              <w:jc w:val="center"/>
              <w:rPr>
                <w:color w:val="auto"/>
                <w:highlight w:val="none"/>
              </w:rPr>
            </w:pPr>
            <w:r>
              <w:rPr>
                <w:rStyle w:val="23"/>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3"/>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3"/>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0"/>
        <w:tblW w:w="997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0"/>
        <w:gridCol w:w="1157"/>
        <w:gridCol w:w="1887"/>
        <w:gridCol w:w="1683"/>
        <w:gridCol w:w="2013"/>
        <w:gridCol w:w="2268"/>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Align w:val="center"/>
          </w:tcPr>
          <w:p w14:paraId="438AE974">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7" w:type="dxa"/>
            <w:vAlign w:val="center"/>
          </w:tcPr>
          <w:p w14:paraId="4F4BF870">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1887" w:type="dxa"/>
            <w:vAlign w:val="center"/>
          </w:tcPr>
          <w:p w14:paraId="6F5E77FB">
            <w:pPr>
              <w:pStyle w:val="33"/>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标的名称</w:t>
            </w:r>
          </w:p>
        </w:tc>
        <w:tc>
          <w:tcPr>
            <w:tcW w:w="1683" w:type="dxa"/>
            <w:vAlign w:val="center"/>
          </w:tcPr>
          <w:p w14:paraId="2DC1373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暂估</w:t>
            </w:r>
            <w:r>
              <w:rPr>
                <w:rFonts w:hint="eastAsia" w:ascii="宋体" w:hAnsi="宋体" w:cs="宋体"/>
                <w:color w:val="auto"/>
                <w:sz w:val="24"/>
                <w:szCs w:val="24"/>
                <w:lang w:eastAsia="zh-CN"/>
              </w:rPr>
              <w:t>数量</w:t>
            </w:r>
          </w:p>
        </w:tc>
        <w:tc>
          <w:tcPr>
            <w:tcW w:w="2013" w:type="dxa"/>
            <w:vAlign w:val="center"/>
          </w:tcPr>
          <w:p w14:paraId="04F9163F">
            <w:pPr>
              <w:pStyle w:val="33"/>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lang w:val="en-US" w:eastAsia="zh-CN"/>
              </w:rPr>
              <w:t>品牌/型号</w:t>
            </w:r>
          </w:p>
        </w:tc>
        <w:tc>
          <w:tcPr>
            <w:tcW w:w="2268" w:type="dxa"/>
            <w:vAlign w:val="center"/>
          </w:tcPr>
          <w:p w14:paraId="25D89385">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970" w:type="dxa"/>
            <w:vMerge w:val="restart"/>
            <w:vAlign w:val="center"/>
          </w:tcPr>
          <w:p w14:paraId="2AEBA7E8">
            <w:pPr>
              <w:pStyle w:val="33"/>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7" w:type="dxa"/>
            <w:vAlign w:val="center"/>
          </w:tcPr>
          <w:p w14:paraId="1563DEAC">
            <w:pPr>
              <w:pStyle w:val="33"/>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1887" w:type="dxa"/>
            <w:vAlign w:val="center"/>
          </w:tcPr>
          <w:p w14:paraId="1D49D4F1">
            <w:pPr>
              <w:spacing w:line="360" w:lineRule="auto"/>
              <w:jc w:val="center"/>
              <w:rPr>
                <w:rFonts w:ascii="宋体" w:hAnsi="宋体" w:cs="宋体"/>
                <w:b/>
                <w:bCs/>
                <w:color w:val="auto"/>
                <w:sz w:val="24"/>
                <w:highlight w:val="none"/>
              </w:rPr>
            </w:pPr>
          </w:p>
        </w:tc>
        <w:tc>
          <w:tcPr>
            <w:tcW w:w="1683" w:type="dxa"/>
            <w:vAlign w:val="center"/>
          </w:tcPr>
          <w:p w14:paraId="03E2BE46">
            <w:pPr>
              <w:spacing w:line="360" w:lineRule="auto"/>
              <w:jc w:val="center"/>
              <w:rPr>
                <w:rFonts w:ascii="宋体" w:hAnsi="宋体" w:cs="宋体"/>
                <w:color w:val="auto"/>
                <w:sz w:val="24"/>
                <w:highlight w:val="none"/>
              </w:rPr>
            </w:pPr>
          </w:p>
        </w:tc>
        <w:tc>
          <w:tcPr>
            <w:tcW w:w="2013" w:type="dxa"/>
            <w:vAlign w:val="center"/>
          </w:tcPr>
          <w:p w14:paraId="2B29CDF4">
            <w:pPr>
              <w:spacing w:line="360" w:lineRule="auto"/>
              <w:jc w:val="center"/>
              <w:rPr>
                <w:rFonts w:ascii="宋体" w:hAnsi="宋体" w:cs="宋体"/>
                <w:color w:val="auto"/>
                <w:sz w:val="24"/>
                <w:highlight w:val="none"/>
              </w:rPr>
            </w:pPr>
          </w:p>
        </w:tc>
        <w:tc>
          <w:tcPr>
            <w:tcW w:w="2268"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9" w:hRule="atLeast"/>
        </w:trPr>
        <w:tc>
          <w:tcPr>
            <w:tcW w:w="970" w:type="dxa"/>
            <w:vMerge w:val="continue"/>
            <w:vAlign w:val="center"/>
          </w:tcPr>
          <w:p w14:paraId="0A71FDB3">
            <w:pPr>
              <w:spacing w:line="360" w:lineRule="auto"/>
              <w:jc w:val="center"/>
              <w:rPr>
                <w:rFonts w:ascii="宋体" w:hAnsi="宋体" w:cs="宋体"/>
                <w:color w:val="auto"/>
                <w:sz w:val="24"/>
                <w:highlight w:val="none"/>
              </w:rPr>
            </w:pPr>
          </w:p>
        </w:tc>
        <w:tc>
          <w:tcPr>
            <w:tcW w:w="1157" w:type="dxa"/>
            <w:vAlign w:val="center"/>
          </w:tcPr>
          <w:p w14:paraId="7F508B8E">
            <w:pPr>
              <w:pStyle w:val="33"/>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1887" w:type="dxa"/>
            <w:vAlign w:val="center"/>
          </w:tcPr>
          <w:p w14:paraId="757FDE42">
            <w:pPr>
              <w:spacing w:line="360" w:lineRule="auto"/>
              <w:jc w:val="center"/>
              <w:rPr>
                <w:rFonts w:ascii="宋体" w:hAnsi="宋体" w:cs="宋体"/>
                <w:color w:val="auto"/>
                <w:sz w:val="24"/>
                <w:highlight w:val="none"/>
              </w:rPr>
            </w:pPr>
          </w:p>
        </w:tc>
        <w:tc>
          <w:tcPr>
            <w:tcW w:w="1683" w:type="dxa"/>
            <w:vAlign w:val="center"/>
          </w:tcPr>
          <w:p w14:paraId="138BAC3E">
            <w:pPr>
              <w:spacing w:line="360" w:lineRule="auto"/>
              <w:jc w:val="center"/>
              <w:rPr>
                <w:rFonts w:ascii="宋体" w:hAnsi="宋体" w:cs="宋体"/>
                <w:color w:val="auto"/>
                <w:sz w:val="24"/>
                <w:highlight w:val="none"/>
              </w:rPr>
            </w:pPr>
          </w:p>
        </w:tc>
        <w:tc>
          <w:tcPr>
            <w:tcW w:w="2013" w:type="dxa"/>
            <w:vAlign w:val="center"/>
          </w:tcPr>
          <w:p w14:paraId="11DA6FBE">
            <w:pPr>
              <w:spacing w:line="360" w:lineRule="auto"/>
              <w:jc w:val="center"/>
              <w:rPr>
                <w:rFonts w:ascii="宋体" w:hAnsi="宋体" w:cs="宋体"/>
                <w:color w:val="auto"/>
                <w:sz w:val="24"/>
                <w:highlight w:val="none"/>
              </w:rPr>
            </w:pPr>
          </w:p>
        </w:tc>
        <w:tc>
          <w:tcPr>
            <w:tcW w:w="2268" w:type="dxa"/>
            <w:vAlign w:val="center"/>
          </w:tcPr>
          <w:p w14:paraId="3F3B43D2">
            <w:pPr>
              <w:spacing w:line="360" w:lineRule="auto"/>
              <w:jc w:val="center"/>
              <w:rPr>
                <w:rFonts w:ascii="宋体" w:hAnsi="宋体" w:cs="宋体"/>
                <w:color w:val="auto"/>
                <w:sz w:val="24"/>
                <w:highlight w:val="none"/>
              </w:rPr>
            </w:pPr>
          </w:p>
        </w:tc>
      </w:tr>
    </w:tbl>
    <w:p w14:paraId="32C2B03F">
      <w:pPr>
        <w:pStyle w:val="33"/>
        <w:spacing w:line="360" w:lineRule="auto"/>
        <w:ind w:firstLine="480"/>
        <w:jc w:val="right"/>
        <w:rPr>
          <w:rFonts w:hint="default" w:ascii="宋体" w:hAnsi="宋体" w:cs="宋体"/>
          <w:color w:val="auto"/>
          <w:sz w:val="24"/>
          <w:szCs w:val="24"/>
          <w:highlight w:val="none"/>
        </w:rPr>
      </w:pPr>
    </w:p>
    <w:p w14:paraId="02C83F11">
      <w:pPr>
        <w:pStyle w:val="33"/>
        <w:spacing w:line="360" w:lineRule="auto"/>
        <w:ind w:firstLine="480"/>
        <w:jc w:val="right"/>
        <w:rPr>
          <w:rFonts w:hint="default" w:ascii="宋体" w:hAnsi="宋体" w:cs="宋体"/>
          <w:color w:val="auto"/>
          <w:sz w:val="24"/>
          <w:szCs w:val="24"/>
          <w:highlight w:val="none"/>
        </w:rPr>
      </w:pPr>
    </w:p>
    <w:p w14:paraId="42823BB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3"/>
        <w:spacing w:line="360" w:lineRule="auto"/>
        <w:jc w:val="both"/>
        <w:rPr>
          <w:rFonts w:hint="default" w:ascii="宋体" w:hAnsi="宋体" w:cs="宋体"/>
          <w:color w:val="auto"/>
          <w:sz w:val="24"/>
          <w:szCs w:val="24"/>
          <w:highlight w:val="none"/>
        </w:rPr>
      </w:pPr>
    </w:p>
    <w:p w14:paraId="379D4CC4">
      <w:pPr>
        <w:pStyle w:val="33"/>
        <w:spacing w:line="360" w:lineRule="auto"/>
        <w:jc w:val="both"/>
        <w:rPr>
          <w:rFonts w:hint="default" w:ascii="宋体" w:hAnsi="宋体" w:cs="宋体"/>
          <w:color w:val="auto"/>
          <w:sz w:val="24"/>
          <w:szCs w:val="24"/>
          <w:highlight w:val="none"/>
        </w:rPr>
      </w:pPr>
    </w:p>
    <w:p w14:paraId="4317D954">
      <w:pPr>
        <w:pStyle w:val="33"/>
        <w:spacing w:line="360" w:lineRule="auto"/>
        <w:jc w:val="both"/>
        <w:rPr>
          <w:rFonts w:hint="default" w:ascii="宋体" w:hAnsi="宋体" w:cs="宋体"/>
          <w:color w:val="auto"/>
          <w:sz w:val="24"/>
          <w:szCs w:val="24"/>
          <w:highlight w:val="none"/>
        </w:rPr>
      </w:pPr>
    </w:p>
    <w:p w14:paraId="3D668775">
      <w:pPr>
        <w:pStyle w:val="33"/>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4"/>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6"/>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0"/>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6"/>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6"/>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6"/>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6"/>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6"/>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6"/>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6"/>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6"/>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6"/>
              <w:wordWrap w:val="0"/>
              <w:spacing w:before="0" w:beforeAutospacing="0" w:after="0" w:afterAutospacing="0" w:line="360" w:lineRule="auto"/>
              <w:jc w:val="center"/>
              <w:rPr>
                <w:color w:val="auto"/>
                <w:highlight w:val="none"/>
              </w:rPr>
            </w:pPr>
          </w:p>
        </w:tc>
      </w:tr>
    </w:tbl>
    <w:p w14:paraId="4AC9942A">
      <w:pPr>
        <w:pStyle w:val="16"/>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6"/>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3"/>
        <w:spacing w:line="360" w:lineRule="auto"/>
        <w:ind w:firstLine="480"/>
        <w:jc w:val="right"/>
        <w:rPr>
          <w:rFonts w:hint="default" w:ascii="宋体" w:hAnsi="宋体" w:cs="宋体"/>
          <w:color w:val="auto"/>
          <w:sz w:val="24"/>
          <w:szCs w:val="24"/>
          <w:highlight w:val="none"/>
          <w:lang w:eastAsia="zh-CN"/>
        </w:rPr>
      </w:pPr>
    </w:p>
    <w:p w14:paraId="0A623601">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9"/>
        <w:spacing w:line="360" w:lineRule="auto"/>
        <w:ind w:left="0" w:leftChars="0"/>
        <w:rPr>
          <w:rFonts w:ascii="宋体" w:hAnsi="宋体" w:cs="宋体"/>
          <w:color w:val="auto"/>
          <w:sz w:val="24"/>
          <w:highlight w:val="none"/>
        </w:rPr>
      </w:pPr>
    </w:p>
    <w:p w14:paraId="1119D3D2">
      <w:pPr>
        <w:pStyle w:val="14"/>
        <w:spacing w:line="360" w:lineRule="auto"/>
        <w:rPr>
          <w:rFonts w:ascii="宋体" w:hAnsi="宋体" w:cs="宋体"/>
          <w:color w:val="auto"/>
          <w:sz w:val="24"/>
          <w:highlight w:val="none"/>
        </w:rPr>
      </w:pPr>
    </w:p>
    <w:p w14:paraId="5321318A">
      <w:pPr>
        <w:pStyle w:val="14"/>
        <w:spacing w:line="360" w:lineRule="auto"/>
        <w:rPr>
          <w:rFonts w:ascii="宋体" w:hAnsi="宋体" w:cs="宋体"/>
          <w:color w:val="auto"/>
          <w:sz w:val="24"/>
          <w:highlight w:val="none"/>
        </w:rPr>
      </w:pPr>
    </w:p>
    <w:p w14:paraId="3C82014B">
      <w:pPr>
        <w:pStyle w:val="14"/>
        <w:spacing w:line="360" w:lineRule="auto"/>
        <w:rPr>
          <w:rFonts w:ascii="宋体" w:hAnsi="宋体" w:cs="宋体"/>
          <w:color w:val="auto"/>
          <w:sz w:val="24"/>
          <w:highlight w:val="none"/>
        </w:rPr>
      </w:pPr>
    </w:p>
    <w:p w14:paraId="3726D4AE">
      <w:pPr>
        <w:pStyle w:val="14"/>
        <w:spacing w:line="360" w:lineRule="auto"/>
        <w:rPr>
          <w:rFonts w:ascii="宋体" w:hAnsi="宋体" w:cs="宋体"/>
          <w:color w:val="auto"/>
          <w:sz w:val="24"/>
          <w:highlight w:val="none"/>
        </w:rPr>
      </w:pPr>
    </w:p>
    <w:p w14:paraId="0F16B34A">
      <w:pPr>
        <w:pStyle w:val="14"/>
        <w:spacing w:line="360" w:lineRule="auto"/>
        <w:rPr>
          <w:rFonts w:ascii="宋体" w:hAnsi="宋体" w:cs="宋体"/>
          <w:color w:val="auto"/>
          <w:sz w:val="24"/>
          <w:highlight w:val="none"/>
        </w:rPr>
      </w:pPr>
    </w:p>
    <w:p w14:paraId="73F56BF6">
      <w:pPr>
        <w:pStyle w:val="14"/>
        <w:spacing w:line="360" w:lineRule="auto"/>
        <w:rPr>
          <w:rFonts w:ascii="宋体" w:hAnsi="宋体" w:cs="宋体"/>
          <w:color w:val="auto"/>
          <w:sz w:val="24"/>
          <w:highlight w:val="none"/>
        </w:rPr>
      </w:pPr>
    </w:p>
    <w:p w14:paraId="61FA2276">
      <w:pPr>
        <w:pStyle w:val="14"/>
        <w:spacing w:line="360" w:lineRule="auto"/>
        <w:rPr>
          <w:rFonts w:ascii="宋体" w:hAnsi="宋体" w:cs="宋体"/>
          <w:color w:val="auto"/>
          <w:sz w:val="24"/>
          <w:highlight w:val="none"/>
        </w:rPr>
      </w:pPr>
    </w:p>
    <w:p w14:paraId="468F1230">
      <w:pPr>
        <w:pStyle w:val="14"/>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9"/>
        <w:spacing w:line="360" w:lineRule="auto"/>
        <w:ind w:left="0" w:leftChars="0"/>
        <w:rPr>
          <w:rFonts w:ascii="宋体" w:hAnsi="宋体" w:cs="宋体"/>
          <w:b/>
          <w:bCs/>
          <w:color w:val="auto"/>
          <w:sz w:val="28"/>
          <w:szCs w:val="28"/>
          <w:highlight w:val="none"/>
        </w:rPr>
      </w:pPr>
    </w:p>
    <w:p w14:paraId="2C71186F">
      <w:pPr>
        <w:pStyle w:val="14"/>
        <w:spacing w:line="360" w:lineRule="auto"/>
        <w:rPr>
          <w:rFonts w:ascii="宋体" w:hAnsi="宋体" w:cs="宋体"/>
          <w:b/>
          <w:bCs/>
          <w:color w:val="auto"/>
          <w:sz w:val="28"/>
          <w:szCs w:val="28"/>
          <w:highlight w:val="none"/>
        </w:rPr>
      </w:pPr>
    </w:p>
    <w:p w14:paraId="0776CC2D">
      <w:pPr>
        <w:pStyle w:val="14"/>
        <w:spacing w:line="360" w:lineRule="auto"/>
        <w:rPr>
          <w:rFonts w:ascii="宋体" w:hAnsi="宋体" w:cs="宋体"/>
          <w:b/>
          <w:bCs/>
          <w:color w:val="auto"/>
          <w:sz w:val="28"/>
          <w:szCs w:val="28"/>
          <w:highlight w:val="none"/>
        </w:rPr>
      </w:pPr>
    </w:p>
    <w:p w14:paraId="79EF7A83">
      <w:pPr>
        <w:pStyle w:val="9"/>
        <w:spacing w:line="360" w:lineRule="auto"/>
        <w:ind w:left="0" w:leftChars="0"/>
        <w:rPr>
          <w:rFonts w:ascii="宋体" w:hAnsi="宋体" w:cs="宋体"/>
          <w:b/>
          <w:bCs/>
          <w:color w:val="auto"/>
          <w:sz w:val="28"/>
          <w:szCs w:val="28"/>
          <w:highlight w:val="none"/>
        </w:rPr>
      </w:pPr>
    </w:p>
    <w:p w14:paraId="06B2F9FD">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4"/>
        <w:spacing w:line="360" w:lineRule="auto"/>
        <w:rPr>
          <w:rFonts w:ascii="宋体" w:hAnsi="宋体" w:cs="宋体"/>
          <w:b/>
          <w:bCs/>
          <w:color w:val="auto"/>
          <w:sz w:val="28"/>
          <w:szCs w:val="28"/>
          <w:highlight w:val="none"/>
        </w:rPr>
      </w:pPr>
    </w:p>
    <w:p w14:paraId="088FA728">
      <w:pPr>
        <w:pStyle w:val="33"/>
        <w:spacing w:line="360" w:lineRule="auto"/>
        <w:ind w:firstLine="480"/>
        <w:jc w:val="right"/>
        <w:rPr>
          <w:rFonts w:hint="default" w:ascii="宋体" w:hAnsi="宋体" w:cs="宋体"/>
          <w:color w:val="auto"/>
          <w:sz w:val="24"/>
          <w:szCs w:val="24"/>
          <w:highlight w:val="none"/>
          <w:lang w:eastAsia="zh-CN"/>
        </w:rPr>
      </w:pPr>
    </w:p>
    <w:p w14:paraId="1AA8D74A">
      <w:pPr>
        <w:pStyle w:val="33"/>
        <w:spacing w:line="360" w:lineRule="auto"/>
        <w:ind w:firstLine="480"/>
        <w:jc w:val="right"/>
        <w:rPr>
          <w:rFonts w:hint="default" w:ascii="宋体" w:hAnsi="宋体" w:cs="宋体"/>
          <w:color w:val="auto"/>
          <w:sz w:val="24"/>
          <w:szCs w:val="24"/>
          <w:highlight w:val="none"/>
          <w:lang w:eastAsia="zh-CN"/>
        </w:rPr>
      </w:pPr>
    </w:p>
    <w:p w14:paraId="5427EDC7">
      <w:pPr>
        <w:pStyle w:val="33"/>
        <w:spacing w:line="360" w:lineRule="auto"/>
        <w:ind w:firstLine="480"/>
        <w:jc w:val="right"/>
        <w:rPr>
          <w:rFonts w:hint="default" w:ascii="宋体" w:hAnsi="宋体" w:cs="宋体"/>
          <w:color w:val="auto"/>
          <w:sz w:val="24"/>
          <w:szCs w:val="24"/>
          <w:highlight w:val="none"/>
          <w:lang w:eastAsia="zh-CN"/>
        </w:rPr>
      </w:pPr>
    </w:p>
    <w:p w14:paraId="0B753577">
      <w:pPr>
        <w:pStyle w:val="33"/>
        <w:spacing w:line="360" w:lineRule="auto"/>
        <w:ind w:firstLine="480"/>
        <w:jc w:val="right"/>
        <w:rPr>
          <w:rFonts w:hint="default" w:ascii="宋体" w:hAnsi="宋体" w:cs="宋体"/>
          <w:color w:val="auto"/>
          <w:sz w:val="24"/>
          <w:szCs w:val="24"/>
          <w:highlight w:val="none"/>
          <w:lang w:eastAsia="zh-CN"/>
        </w:rPr>
      </w:pPr>
    </w:p>
    <w:p w14:paraId="2AFC039F">
      <w:pPr>
        <w:pStyle w:val="33"/>
        <w:spacing w:line="360" w:lineRule="auto"/>
        <w:ind w:firstLine="480"/>
        <w:jc w:val="right"/>
        <w:rPr>
          <w:rFonts w:hint="default" w:ascii="宋体" w:hAnsi="宋体" w:cs="宋体"/>
          <w:color w:val="auto"/>
          <w:sz w:val="24"/>
          <w:szCs w:val="24"/>
          <w:highlight w:val="none"/>
          <w:lang w:eastAsia="zh-CN"/>
        </w:rPr>
      </w:pPr>
    </w:p>
    <w:p w14:paraId="36ECBE1C">
      <w:pPr>
        <w:pStyle w:val="33"/>
        <w:spacing w:line="360" w:lineRule="auto"/>
        <w:ind w:firstLine="480"/>
        <w:jc w:val="right"/>
        <w:rPr>
          <w:rFonts w:hint="default" w:ascii="宋体" w:hAnsi="宋体" w:cs="宋体"/>
          <w:color w:val="auto"/>
          <w:sz w:val="24"/>
          <w:szCs w:val="24"/>
          <w:highlight w:val="none"/>
          <w:lang w:eastAsia="zh-CN"/>
        </w:rPr>
      </w:pPr>
    </w:p>
    <w:p w14:paraId="50C0A2E0">
      <w:pPr>
        <w:pStyle w:val="33"/>
        <w:spacing w:line="360" w:lineRule="auto"/>
        <w:ind w:firstLine="480"/>
        <w:jc w:val="right"/>
        <w:rPr>
          <w:rFonts w:hint="default" w:ascii="宋体" w:hAnsi="宋体" w:cs="宋体"/>
          <w:color w:val="auto"/>
          <w:sz w:val="24"/>
          <w:szCs w:val="24"/>
          <w:highlight w:val="none"/>
          <w:lang w:eastAsia="zh-CN"/>
        </w:rPr>
      </w:pPr>
    </w:p>
    <w:p w14:paraId="7BEACA2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4"/>
        <w:spacing w:line="360" w:lineRule="auto"/>
        <w:rPr>
          <w:rFonts w:ascii="宋体" w:hAnsi="宋体" w:cs="宋体"/>
          <w:b/>
          <w:bCs/>
          <w:color w:val="auto"/>
          <w:sz w:val="28"/>
          <w:szCs w:val="28"/>
          <w:highlight w:val="none"/>
        </w:rPr>
      </w:pPr>
    </w:p>
    <w:p w14:paraId="31F6CFBA">
      <w:pPr>
        <w:pStyle w:val="9"/>
        <w:spacing w:line="360" w:lineRule="auto"/>
        <w:ind w:left="0" w:leftChars="0"/>
        <w:jc w:val="center"/>
        <w:rPr>
          <w:rFonts w:ascii="宋体" w:hAnsi="宋体" w:cs="宋体"/>
          <w:b/>
          <w:bCs/>
          <w:color w:val="auto"/>
          <w:sz w:val="28"/>
          <w:szCs w:val="28"/>
          <w:highlight w:val="none"/>
        </w:rPr>
      </w:pPr>
    </w:p>
    <w:p w14:paraId="37897154">
      <w:pPr>
        <w:pStyle w:val="9"/>
        <w:spacing w:line="360" w:lineRule="auto"/>
        <w:ind w:left="0" w:leftChars="0"/>
        <w:jc w:val="center"/>
        <w:rPr>
          <w:rFonts w:ascii="宋体" w:hAnsi="宋体" w:cs="宋体"/>
          <w:b/>
          <w:bCs/>
          <w:color w:val="auto"/>
          <w:sz w:val="28"/>
          <w:szCs w:val="28"/>
          <w:highlight w:val="none"/>
        </w:rPr>
      </w:pPr>
    </w:p>
    <w:p w14:paraId="19D064AE">
      <w:pPr>
        <w:pStyle w:val="9"/>
        <w:spacing w:line="360" w:lineRule="auto"/>
        <w:ind w:left="0" w:leftChars="0"/>
        <w:jc w:val="center"/>
        <w:rPr>
          <w:rFonts w:ascii="宋体" w:hAnsi="宋体" w:cs="宋体"/>
          <w:b/>
          <w:bCs/>
          <w:color w:val="auto"/>
          <w:sz w:val="28"/>
          <w:szCs w:val="28"/>
          <w:highlight w:val="none"/>
        </w:rPr>
      </w:pPr>
    </w:p>
    <w:p w14:paraId="0ED390FA">
      <w:pPr>
        <w:pStyle w:val="9"/>
        <w:spacing w:line="360" w:lineRule="auto"/>
        <w:ind w:left="0" w:leftChars="0"/>
        <w:jc w:val="center"/>
        <w:rPr>
          <w:rFonts w:ascii="宋体" w:hAnsi="宋体" w:cs="宋体"/>
          <w:b/>
          <w:bCs/>
          <w:color w:val="auto"/>
          <w:sz w:val="28"/>
          <w:szCs w:val="28"/>
          <w:highlight w:val="none"/>
        </w:rPr>
      </w:pPr>
    </w:p>
    <w:p w14:paraId="3C84BE07">
      <w:pPr>
        <w:pStyle w:val="9"/>
        <w:spacing w:line="360" w:lineRule="auto"/>
        <w:ind w:left="0" w:leftChars="0"/>
        <w:jc w:val="center"/>
        <w:rPr>
          <w:rFonts w:ascii="宋体" w:hAnsi="宋体" w:cs="宋体"/>
          <w:b/>
          <w:bCs/>
          <w:color w:val="auto"/>
          <w:sz w:val="28"/>
          <w:szCs w:val="28"/>
          <w:highlight w:val="none"/>
        </w:rPr>
      </w:pPr>
    </w:p>
    <w:p w14:paraId="64E4F662">
      <w:pPr>
        <w:pStyle w:val="9"/>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9"/>
        <w:spacing w:line="360" w:lineRule="auto"/>
        <w:ind w:left="0" w:leftChars="0"/>
        <w:jc w:val="center"/>
        <w:rPr>
          <w:rFonts w:ascii="宋体" w:hAnsi="宋体" w:cs="宋体"/>
          <w:b/>
          <w:bCs/>
          <w:color w:val="auto"/>
          <w:sz w:val="28"/>
          <w:szCs w:val="28"/>
          <w:highlight w:val="none"/>
        </w:rPr>
      </w:pPr>
    </w:p>
    <w:p w14:paraId="7CEA87EF">
      <w:pPr>
        <w:pStyle w:val="9"/>
        <w:spacing w:line="360" w:lineRule="auto"/>
        <w:ind w:left="0" w:leftChars="0"/>
        <w:jc w:val="center"/>
        <w:rPr>
          <w:rFonts w:ascii="宋体" w:hAnsi="宋体" w:cs="宋体"/>
          <w:b/>
          <w:bCs/>
          <w:color w:val="auto"/>
          <w:sz w:val="28"/>
          <w:szCs w:val="28"/>
          <w:highlight w:val="none"/>
        </w:rPr>
      </w:pPr>
    </w:p>
    <w:p w14:paraId="331B2308">
      <w:pPr>
        <w:pStyle w:val="9"/>
        <w:spacing w:line="360" w:lineRule="auto"/>
        <w:ind w:left="0" w:leftChars="0"/>
        <w:jc w:val="center"/>
        <w:rPr>
          <w:rFonts w:ascii="宋体" w:hAnsi="宋体" w:cs="宋体"/>
          <w:b/>
          <w:bCs/>
          <w:color w:val="auto"/>
          <w:sz w:val="28"/>
          <w:szCs w:val="28"/>
          <w:highlight w:val="none"/>
        </w:rPr>
      </w:pPr>
    </w:p>
    <w:p w14:paraId="574F2A9B">
      <w:pPr>
        <w:pStyle w:val="9"/>
        <w:spacing w:line="360" w:lineRule="auto"/>
        <w:ind w:left="0" w:leftChars="0"/>
        <w:jc w:val="center"/>
        <w:rPr>
          <w:rFonts w:ascii="宋体" w:hAnsi="宋体" w:cs="宋体"/>
          <w:b/>
          <w:bCs/>
          <w:color w:val="auto"/>
          <w:sz w:val="28"/>
          <w:szCs w:val="28"/>
          <w:highlight w:val="none"/>
        </w:rPr>
      </w:pPr>
    </w:p>
    <w:p w14:paraId="3DB00B5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4"/>
        <w:spacing w:line="360" w:lineRule="auto"/>
        <w:rPr>
          <w:rFonts w:ascii="宋体" w:hAnsi="宋体" w:cs="宋体"/>
          <w:b/>
          <w:bCs/>
          <w:color w:val="auto"/>
          <w:sz w:val="28"/>
          <w:szCs w:val="28"/>
          <w:highlight w:val="none"/>
        </w:rPr>
      </w:pPr>
    </w:p>
    <w:p w14:paraId="70DC87A6">
      <w:pPr>
        <w:pStyle w:val="33"/>
        <w:spacing w:line="360" w:lineRule="auto"/>
        <w:ind w:firstLine="480"/>
        <w:jc w:val="right"/>
        <w:rPr>
          <w:rFonts w:hint="default" w:ascii="宋体" w:hAnsi="宋体" w:cs="宋体"/>
          <w:color w:val="auto"/>
          <w:sz w:val="24"/>
          <w:szCs w:val="24"/>
          <w:highlight w:val="none"/>
          <w:lang w:eastAsia="zh-CN"/>
        </w:rPr>
      </w:pPr>
    </w:p>
    <w:p w14:paraId="54C846C4">
      <w:pPr>
        <w:pStyle w:val="33"/>
        <w:spacing w:line="360" w:lineRule="auto"/>
        <w:ind w:firstLine="480"/>
        <w:jc w:val="right"/>
        <w:rPr>
          <w:rFonts w:hint="default" w:ascii="宋体" w:hAnsi="宋体" w:cs="宋体"/>
          <w:color w:val="auto"/>
          <w:sz w:val="24"/>
          <w:szCs w:val="24"/>
          <w:highlight w:val="none"/>
          <w:lang w:eastAsia="zh-CN"/>
        </w:rPr>
      </w:pPr>
    </w:p>
    <w:p w14:paraId="77363007">
      <w:pPr>
        <w:pStyle w:val="33"/>
        <w:spacing w:line="360" w:lineRule="auto"/>
        <w:ind w:firstLine="480"/>
        <w:jc w:val="right"/>
        <w:rPr>
          <w:rFonts w:hint="default" w:ascii="宋体" w:hAnsi="宋体" w:cs="宋体"/>
          <w:color w:val="auto"/>
          <w:sz w:val="24"/>
          <w:szCs w:val="24"/>
          <w:highlight w:val="none"/>
          <w:lang w:eastAsia="zh-CN"/>
        </w:rPr>
      </w:pPr>
    </w:p>
    <w:p w14:paraId="20DF0C08">
      <w:pPr>
        <w:pStyle w:val="33"/>
        <w:spacing w:line="360" w:lineRule="auto"/>
        <w:ind w:firstLine="480"/>
        <w:jc w:val="right"/>
        <w:rPr>
          <w:rFonts w:hint="default" w:ascii="宋体" w:hAnsi="宋体" w:cs="宋体"/>
          <w:color w:val="auto"/>
          <w:sz w:val="24"/>
          <w:szCs w:val="24"/>
          <w:highlight w:val="none"/>
          <w:lang w:eastAsia="zh-CN"/>
        </w:rPr>
      </w:pPr>
    </w:p>
    <w:p w14:paraId="0AA1C83D">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4"/>
        <w:spacing w:line="360" w:lineRule="auto"/>
        <w:rPr>
          <w:rFonts w:ascii="宋体" w:hAnsi="宋体" w:cs="宋体"/>
          <w:b/>
          <w:bCs/>
          <w:color w:val="auto"/>
          <w:sz w:val="28"/>
          <w:szCs w:val="28"/>
          <w:highlight w:val="none"/>
        </w:rPr>
      </w:pPr>
    </w:p>
    <w:p w14:paraId="22A9EDD9">
      <w:pPr>
        <w:pStyle w:val="14"/>
        <w:spacing w:line="360" w:lineRule="auto"/>
        <w:rPr>
          <w:color w:val="auto"/>
          <w:highlight w:val="none"/>
        </w:rPr>
      </w:pPr>
    </w:p>
    <w:p w14:paraId="01C7C78E">
      <w:pPr>
        <w:pStyle w:val="14"/>
        <w:spacing w:line="360" w:lineRule="auto"/>
        <w:rPr>
          <w:color w:val="auto"/>
          <w:highlight w:val="none"/>
        </w:rPr>
      </w:pPr>
    </w:p>
    <w:p w14:paraId="35556AE7">
      <w:pPr>
        <w:pStyle w:val="14"/>
        <w:spacing w:line="360" w:lineRule="auto"/>
        <w:rPr>
          <w:color w:val="auto"/>
          <w:highlight w:val="none"/>
        </w:rPr>
      </w:pPr>
    </w:p>
    <w:p w14:paraId="4E1A6E85">
      <w:pPr>
        <w:pStyle w:val="14"/>
        <w:spacing w:line="360" w:lineRule="auto"/>
        <w:rPr>
          <w:color w:val="auto"/>
          <w:highlight w:val="none"/>
        </w:rPr>
      </w:pPr>
    </w:p>
    <w:p w14:paraId="46AD2750">
      <w:pPr>
        <w:pStyle w:val="14"/>
        <w:spacing w:line="360" w:lineRule="auto"/>
        <w:rPr>
          <w:color w:val="auto"/>
          <w:highlight w:val="none"/>
        </w:rPr>
      </w:pPr>
    </w:p>
    <w:p w14:paraId="1913FC5F">
      <w:pPr>
        <w:pStyle w:val="14"/>
        <w:spacing w:line="360" w:lineRule="auto"/>
        <w:rPr>
          <w:color w:val="auto"/>
          <w:highlight w:val="none"/>
        </w:rPr>
      </w:pPr>
    </w:p>
    <w:p w14:paraId="61F60254">
      <w:pPr>
        <w:pStyle w:val="14"/>
        <w:spacing w:line="360" w:lineRule="auto"/>
        <w:rPr>
          <w:color w:val="auto"/>
          <w:highlight w:val="none"/>
        </w:rPr>
      </w:pPr>
    </w:p>
    <w:p w14:paraId="02CCF8EF">
      <w:pPr>
        <w:pStyle w:val="14"/>
        <w:spacing w:line="360" w:lineRule="auto"/>
        <w:rPr>
          <w:color w:val="auto"/>
          <w:highlight w:val="none"/>
        </w:rPr>
      </w:pPr>
    </w:p>
    <w:p w14:paraId="40D9D294">
      <w:pPr>
        <w:pStyle w:val="14"/>
        <w:spacing w:line="360" w:lineRule="auto"/>
        <w:rPr>
          <w:color w:val="auto"/>
          <w:highlight w:val="none"/>
        </w:rPr>
      </w:pPr>
    </w:p>
    <w:p w14:paraId="26CFA76D">
      <w:pPr>
        <w:pStyle w:val="14"/>
        <w:spacing w:line="360" w:lineRule="auto"/>
        <w:rPr>
          <w:color w:val="auto"/>
          <w:highlight w:val="none"/>
        </w:rPr>
      </w:pPr>
    </w:p>
    <w:p w14:paraId="6236DE25">
      <w:pPr>
        <w:pStyle w:val="14"/>
        <w:spacing w:line="360" w:lineRule="auto"/>
        <w:rPr>
          <w:color w:val="auto"/>
          <w:highlight w:val="none"/>
        </w:rPr>
      </w:pPr>
    </w:p>
    <w:p w14:paraId="3DC90531">
      <w:pPr>
        <w:pStyle w:val="14"/>
        <w:spacing w:line="360" w:lineRule="auto"/>
        <w:rPr>
          <w:color w:val="auto"/>
          <w:highlight w:val="none"/>
        </w:rPr>
      </w:pPr>
    </w:p>
    <w:p w14:paraId="6810E63F">
      <w:pPr>
        <w:pStyle w:val="14"/>
        <w:spacing w:line="360" w:lineRule="auto"/>
        <w:rPr>
          <w:color w:val="auto"/>
          <w:highlight w:val="none"/>
        </w:rPr>
      </w:pPr>
    </w:p>
    <w:p w14:paraId="2D859747">
      <w:pPr>
        <w:pStyle w:val="14"/>
        <w:spacing w:line="360" w:lineRule="auto"/>
        <w:rPr>
          <w:color w:val="auto"/>
          <w:highlight w:val="none"/>
        </w:rPr>
      </w:pPr>
    </w:p>
    <w:p w14:paraId="1A9B0A73">
      <w:pPr>
        <w:pStyle w:val="14"/>
        <w:spacing w:line="360" w:lineRule="auto"/>
        <w:rPr>
          <w:color w:val="auto"/>
          <w:highlight w:val="none"/>
        </w:rPr>
      </w:pPr>
    </w:p>
    <w:p w14:paraId="09BAEE96">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9"/>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9"/>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4"/>
        <w:spacing w:line="360" w:lineRule="auto"/>
        <w:rPr>
          <w:rFonts w:ascii="宋体" w:hAnsi="宋体" w:cs="宋体"/>
          <w:b/>
          <w:bCs/>
          <w:color w:val="auto"/>
          <w:sz w:val="28"/>
          <w:szCs w:val="28"/>
          <w:highlight w:val="none"/>
        </w:rPr>
      </w:pPr>
    </w:p>
    <w:p w14:paraId="5329AB93">
      <w:pPr>
        <w:pStyle w:val="33"/>
        <w:spacing w:line="360" w:lineRule="auto"/>
        <w:ind w:firstLine="480"/>
        <w:jc w:val="right"/>
        <w:rPr>
          <w:rFonts w:hint="default" w:ascii="宋体" w:hAnsi="宋体" w:cs="宋体"/>
          <w:color w:val="auto"/>
          <w:sz w:val="24"/>
          <w:szCs w:val="24"/>
          <w:highlight w:val="none"/>
          <w:lang w:eastAsia="zh-CN"/>
        </w:rPr>
      </w:pPr>
    </w:p>
    <w:p w14:paraId="4450A9AB">
      <w:pPr>
        <w:pStyle w:val="33"/>
        <w:spacing w:line="360" w:lineRule="auto"/>
        <w:ind w:firstLine="480"/>
        <w:jc w:val="right"/>
        <w:rPr>
          <w:rFonts w:hint="default" w:ascii="宋体" w:hAnsi="宋体" w:cs="宋体"/>
          <w:color w:val="auto"/>
          <w:sz w:val="24"/>
          <w:szCs w:val="24"/>
          <w:highlight w:val="none"/>
          <w:lang w:eastAsia="zh-CN"/>
        </w:rPr>
      </w:pPr>
    </w:p>
    <w:p w14:paraId="2771A5B9">
      <w:pPr>
        <w:pStyle w:val="33"/>
        <w:spacing w:line="360" w:lineRule="auto"/>
        <w:ind w:firstLine="480"/>
        <w:jc w:val="right"/>
        <w:rPr>
          <w:rFonts w:hint="default" w:ascii="宋体" w:hAnsi="宋体" w:cs="宋体"/>
          <w:color w:val="auto"/>
          <w:sz w:val="24"/>
          <w:szCs w:val="24"/>
          <w:highlight w:val="none"/>
          <w:lang w:eastAsia="zh-CN"/>
        </w:rPr>
      </w:pPr>
    </w:p>
    <w:p w14:paraId="2090BCE7">
      <w:pPr>
        <w:pStyle w:val="33"/>
        <w:spacing w:line="360" w:lineRule="auto"/>
        <w:ind w:firstLine="480"/>
        <w:jc w:val="right"/>
        <w:rPr>
          <w:rFonts w:hint="default" w:ascii="宋体" w:hAnsi="宋体" w:cs="宋体"/>
          <w:color w:val="auto"/>
          <w:sz w:val="24"/>
          <w:szCs w:val="24"/>
          <w:highlight w:val="none"/>
          <w:lang w:eastAsia="zh-CN"/>
        </w:rPr>
      </w:pPr>
    </w:p>
    <w:p w14:paraId="2208D485">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3"/>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9"/>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9"/>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9"/>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9"/>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9"/>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28"/>
        <w:spacing w:after="120" w:line="360" w:lineRule="auto"/>
        <w:outlineLvl w:val="9"/>
        <w:rPr>
          <w:rStyle w:val="29"/>
          <w:rFonts w:hAnsi="宋体" w:cs="宋体"/>
          <w:b/>
          <w:bCs/>
          <w:color w:val="auto"/>
          <w:sz w:val="44"/>
          <w:szCs w:val="44"/>
          <w:highlight w:val="none"/>
        </w:rPr>
      </w:pPr>
    </w:p>
    <w:p w14:paraId="035C09F0">
      <w:pPr>
        <w:pStyle w:val="28"/>
        <w:spacing w:after="120" w:line="360" w:lineRule="auto"/>
        <w:jc w:val="center"/>
        <w:outlineLvl w:val="9"/>
        <w:rPr>
          <w:rStyle w:val="29"/>
          <w:rFonts w:hAnsi="宋体" w:cs="宋体"/>
          <w:b/>
          <w:bCs/>
          <w:color w:val="auto"/>
          <w:sz w:val="44"/>
          <w:szCs w:val="44"/>
          <w:highlight w:val="none"/>
        </w:rPr>
      </w:pPr>
      <w:r>
        <w:rPr>
          <w:rStyle w:val="29"/>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1"/>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0"/>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976"/>
        <w:gridCol w:w="1479"/>
        <w:gridCol w:w="1473"/>
        <w:gridCol w:w="1217"/>
        <w:gridCol w:w="1500"/>
        <w:gridCol w:w="1314"/>
        <w:gridCol w:w="1314"/>
      </w:tblGrid>
      <w:tr w14:paraId="0E4B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03"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97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479"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标的名称</w:t>
            </w:r>
          </w:p>
        </w:tc>
        <w:tc>
          <w:tcPr>
            <w:tcW w:w="147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交付时间</w:t>
            </w:r>
          </w:p>
        </w:tc>
        <w:tc>
          <w:tcPr>
            <w:tcW w:w="1217"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yellow"/>
                <w:lang w:val="en-US" w:eastAsia="zh-CN"/>
              </w:rPr>
            </w:pPr>
            <w:r>
              <w:rPr>
                <w:rFonts w:hint="eastAsia" w:hAnsi="宋体"/>
                <w:color w:val="auto"/>
                <w:kern w:val="2"/>
                <w:sz w:val="24"/>
                <w:highlight w:val="none"/>
                <w:lang w:val="en-US" w:eastAsia="zh-CN"/>
              </w:rPr>
              <w:t>暂估</w:t>
            </w:r>
            <w:r>
              <w:rPr>
                <w:rFonts w:hint="eastAsia" w:hAnsi="宋体"/>
                <w:color w:val="auto"/>
                <w:kern w:val="2"/>
                <w:sz w:val="24"/>
                <w:highlight w:val="none"/>
              </w:rPr>
              <w:t>数量</w:t>
            </w:r>
          </w:p>
        </w:tc>
        <w:tc>
          <w:tcPr>
            <w:tcW w:w="1500" w:type="dxa"/>
            <w:vAlign w:val="center"/>
          </w:tcPr>
          <w:p w14:paraId="58C53318">
            <w:pPr>
              <w:pStyle w:val="10"/>
              <w:snapToGrid w:val="0"/>
              <w:spacing w:line="240" w:lineRule="auto"/>
              <w:ind w:left="-105" w:leftChars="-50" w:right="-105" w:rightChars="-50"/>
              <w:jc w:val="center"/>
              <w:rPr>
                <w:rFonts w:hint="default" w:hAnsi="宋体"/>
                <w:color w:val="auto"/>
                <w:kern w:val="2"/>
                <w:sz w:val="24"/>
                <w:highlight w:val="none"/>
                <w:lang w:val="en-US" w:eastAsia="zh-CN"/>
              </w:rPr>
            </w:pPr>
            <w:r>
              <w:rPr>
                <w:rFonts w:hint="default" w:hAnsi="宋体"/>
                <w:color w:val="auto"/>
                <w:kern w:val="2"/>
                <w:sz w:val="24"/>
                <w:highlight w:val="none"/>
                <w:lang w:val="en-US" w:eastAsia="zh-CN"/>
              </w:rPr>
              <w:t>品牌/型号</w:t>
            </w:r>
          </w:p>
        </w:tc>
        <w:tc>
          <w:tcPr>
            <w:tcW w:w="1314" w:type="dxa"/>
            <w:vAlign w:val="center"/>
          </w:tcPr>
          <w:p w14:paraId="39925705">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投标单价</w:t>
            </w:r>
          </w:p>
        </w:tc>
        <w:tc>
          <w:tcPr>
            <w:tcW w:w="1314" w:type="dxa"/>
            <w:vAlign w:val="center"/>
          </w:tcPr>
          <w:p w14:paraId="54211A76">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投标总报价</w:t>
            </w:r>
          </w:p>
        </w:tc>
      </w:tr>
      <w:tr w14:paraId="3A3B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jc w:val="center"/>
        </w:trPr>
        <w:tc>
          <w:tcPr>
            <w:tcW w:w="903"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97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479" w:type="dxa"/>
            <w:vAlign w:val="center"/>
          </w:tcPr>
          <w:p w14:paraId="62261F02">
            <w:pPr>
              <w:snapToGrid w:val="0"/>
              <w:spacing w:line="240" w:lineRule="auto"/>
              <w:jc w:val="center"/>
              <w:rPr>
                <w:rFonts w:ascii="宋体" w:hAnsi="宋体"/>
                <w:color w:val="auto"/>
                <w:sz w:val="24"/>
                <w:highlight w:val="none"/>
              </w:rPr>
            </w:pPr>
          </w:p>
        </w:tc>
        <w:tc>
          <w:tcPr>
            <w:tcW w:w="1473" w:type="dxa"/>
            <w:vAlign w:val="center"/>
          </w:tcPr>
          <w:p w14:paraId="205748A0">
            <w:pPr>
              <w:snapToGrid w:val="0"/>
              <w:spacing w:line="240" w:lineRule="auto"/>
              <w:jc w:val="center"/>
              <w:rPr>
                <w:rFonts w:ascii="宋体" w:hAnsi="宋体"/>
                <w:color w:val="auto"/>
                <w:sz w:val="24"/>
                <w:highlight w:val="none"/>
              </w:rPr>
            </w:pPr>
          </w:p>
        </w:tc>
        <w:tc>
          <w:tcPr>
            <w:tcW w:w="1217" w:type="dxa"/>
            <w:vAlign w:val="center"/>
          </w:tcPr>
          <w:p w14:paraId="5F9E2280">
            <w:pPr>
              <w:snapToGrid w:val="0"/>
              <w:spacing w:line="240" w:lineRule="auto"/>
              <w:jc w:val="center"/>
              <w:rPr>
                <w:rFonts w:ascii="宋体" w:hAnsi="宋体" w:cs="宋体"/>
                <w:color w:val="auto"/>
                <w:kern w:val="0"/>
                <w:sz w:val="24"/>
                <w:highlight w:val="yellow"/>
              </w:rPr>
            </w:pPr>
          </w:p>
        </w:tc>
        <w:tc>
          <w:tcPr>
            <w:tcW w:w="1500" w:type="dxa"/>
            <w:vAlign w:val="center"/>
          </w:tcPr>
          <w:p w14:paraId="2F9659AC">
            <w:pPr>
              <w:widowControl/>
              <w:spacing w:line="240" w:lineRule="auto"/>
              <w:jc w:val="left"/>
              <w:rPr>
                <w:rFonts w:ascii="宋体" w:hAnsi="宋体"/>
                <w:color w:val="auto"/>
                <w:sz w:val="24"/>
                <w:highlight w:val="none"/>
              </w:rPr>
            </w:pPr>
          </w:p>
        </w:tc>
        <w:tc>
          <w:tcPr>
            <w:tcW w:w="1314" w:type="dxa"/>
            <w:vAlign w:val="center"/>
          </w:tcPr>
          <w:p w14:paraId="35D453C9">
            <w:pPr>
              <w:widowControl/>
              <w:spacing w:line="240" w:lineRule="auto"/>
              <w:jc w:val="left"/>
              <w:rPr>
                <w:rFonts w:ascii="宋体" w:hAnsi="宋体"/>
                <w:color w:val="auto"/>
                <w:sz w:val="24"/>
                <w:highlight w:val="none"/>
              </w:rPr>
            </w:pPr>
          </w:p>
        </w:tc>
        <w:tc>
          <w:tcPr>
            <w:tcW w:w="1314" w:type="dxa"/>
            <w:vAlign w:val="center"/>
          </w:tcPr>
          <w:p w14:paraId="5BECD498">
            <w:pPr>
              <w:widowControl/>
              <w:spacing w:line="240" w:lineRule="auto"/>
              <w:jc w:val="left"/>
              <w:rPr>
                <w:rFonts w:ascii="宋体" w:hAnsi="宋体"/>
                <w:color w:val="auto"/>
                <w:sz w:val="24"/>
                <w:highlight w:val="none"/>
              </w:rPr>
            </w:pPr>
          </w:p>
        </w:tc>
      </w:tr>
    </w:tbl>
    <w:p w14:paraId="0EC9C3C5">
      <w:pPr>
        <w:pStyle w:val="31"/>
        <w:spacing w:line="360" w:lineRule="auto"/>
        <w:ind w:firstLine="6240" w:firstLineChars="2600"/>
        <w:rPr>
          <w:rFonts w:ascii="宋体" w:hAnsi="宋体"/>
          <w:color w:val="auto"/>
          <w:sz w:val="24"/>
          <w:highlight w:val="none"/>
        </w:rPr>
      </w:pPr>
    </w:p>
    <w:p w14:paraId="52E902F0">
      <w:pPr>
        <w:pStyle w:val="31"/>
        <w:spacing w:line="360" w:lineRule="auto"/>
        <w:rPr>
          <w:rStyle w:val="29"/>
          <w:rFonts w:hint="eastAsia" w:ascii="宋体" w:hAnsi="宋体" w:cs="Times New Roman"/>
          <w:b/>
          <w:bCs/>
          <w:color w:val="auto"/>
          <w:kern w:val="0"/>
          <w:sz w:val="24"/>
          <w:highlight w:val="none"/>
          <w:lang w:val="en-US" w:eastAsia="zh-CN"/>
        </w:rPr>
      </w:pPr>
      <w:r>
        <w:rPr>
          <w:rStyle w:val="29"/>
          <w:rFonts w:hint="eastAsia" w:ascii="宋体" w:hAnsi="宋体" w:cs="Times New Roman"/>
          <w:b/>
          <w:bCs/>
          <w:color w:val="auto"/>
          <w:kern w:val="0"/>
          <w:sz w:val="24"/>
          <w:highlight w:val="none"/>
          <w:lang w:val="en-US" w:eastAsia="zh-CN"/>
        </w:rPr>
        <w:t>注：1、供应商在竞价系统中提交的报价应为投标总报价。</w:t>
      </w:r>
    </w:p>
    <w:p w14:paraId="75A8CB50">
      <w:pPr>
        <w:pStyle w:val="31"/>
        <w:spacing w:line="360" w:lineRule="auto"/>
        <w:ind w:firstLine="482" w:firstLineChars="200"/>
        <w:rPr>
          <w:rFonts w:ascii="宋体" w:hAnsi="宋体"/>
          <w:color w:val="auto"/>
          <w:sz w:val="24"/>
          <w:highlight w:val="none"/>
        </w:rPr>
      </w:pPr>
      <w:r>
        <w:rPr>
          <w:rStyle w:val="29"/>
          <w:rFonts w:hint="eastAsia" w:ascii="宋体" w:hAnsi="宋体" w:cs="Times New Roman"/>
          <w:b/>
          <w:bCs/>
          <w:color w:val="auto"/>
          <w:kern w:val="0"/>
          <w:sz w:val="24"/>
          <w:highlight w:val="none"/>
          <w:lang w:val="en-US" w:eastAsia="zh-CN"/>
        </w:rPr>
        <w:t>2、供应商在竞价系统中提交报价时均上传该《报价一览表》</w:t>
      </w:r>
      <w:r>
        <w:rPr>
          <w:rStyle w:val="29"/>
          <w:rFonts w:hint="eastAsia" w:cs="Times New Roman"/>
          <w:b/>
          <w:bCs/>
          <w:color w:val="auto"/>
          <w:kern w:val="0"/>
          <w:sz w:val="24"/>
          <w:highlight w:val="none"/>
          <w:lang w:val="en-US" w:eastAsia="zh-CN"/>
        </w:rPr>
        <w:t>，</w:t>
      </w:r>
      <w:r>
        <w:rPr>
          <w:rStyle w:val="29"/>
          <w:rFonts w:hint="eastAsia" w:ascii="宋体" w:hAnsi="宋体"/>
          <w:b/>
          <w:bCs/>
          <w:color w:val="auto"/>
          <w:kern w:val="0"/>
          <w:sz w:val="24"/>
          <w:highlight w:val="none"/>
          <w:lang w:val="en-US"/>
        </w:rPr>
        <w:t>供应商在竞价系统中提交的最后一次报价（即</w:t>
      </w:r>
      <w:r>
        <w:rPr>
          <w:rStyle w:val="29"/>
          <w:rFonts w:hint="eastAsia" w:ascii="宋体" w:hAnsi="宋体"/>
          <w:b/>
          <w:bCs/>
          <w:color w:val="auto"/>
          <w:kern w:val="0"/>
          <w:sz w:val="24"/>
          <w:highlight w:val="none"/>
        </w:rPr>
        <w:t>最终有效报价</w:t>
      </w:r>
      <w:r>
        <w:rPr>
          <w:rStyle w:val="29"/>
          <w:rFonts w:hint="eastAsia" w:ascii="宋体" w:hAnsi="宋体"/>
          <w:b/>
          <w:bCs/>
          <w:color w:val="auto"/>
          <w:kern w:val="0"/>
          <w:sz w:val="24"/>
          <w:highlight w:val="none"/>
          <w:lang w:val="en-US"/>
        </w:rPr>
        <w:t>）须与最后一次上传附件价格一致</w:t>
      </w:r>
      <w:r>
        <w:rPr>
          <w:rStyle w:val="29"/>
          <w:rFonts w:hint="eastAsia"/>
          <w:b/>
          <w:bCs/>
          <w:color w:val="auto"/>
          <w:kern w:val="0"/>
          <w:sz w:val="24"/>
          <w:highlight w:val="none"/>
          <w:lang w:val="en-US"/>
        </w:rPr>
        <w:t>。</w:t>
      </w:r>
    </w:p>
    <w:p w14:paraId="01F50ACD">
      <w:pPr>
        <w:pStyle w:val="16"/>
        <w:spacing w:before="75" w:beforeAutospacing="0" w:after="75" w:afterAutospacing="0" w:line="360" w:lineRule="auto"/>
        <w:rPr>
          <w:color w:val="auto"/>
          <w:sz w:val="28"/>
          <w:szCs w:val="28"/>
          <w:highlight w:val="none"/>
        </w:rPr>
      </w:pPr>
      <w:bookmarkStart w:id="8" w:name="_GoBack"/>
      <w:bookmarkEnd w:id="8"/>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C902C25">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color w:val="auto"/>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F73D2"/>
    <w:rsid w:val="00F36BC9"/>
    <w:rsid w:val="011952D6"/>
    <w:rsid w:val="013A4F43"/>
    <w:rsid w:val="01730582"/>
    <w:rsid w:val="023C7365"/>
    <w:rsid w:val="02BC2FB5"/>
    <w:rsid w:val="02DC515B"/>
    <w:rsid w:val="02DD5F1F"/>
    <w:rsid w:val="03511AD9"/>
    <w:rsid w:val="03E26D51"/>
    <w:rsid w:val="03ED3BD7"/>
    <w:rsid w:val="04C91366"/>
    <w:rsid w:val="05B64224"/>
    <w:rsid w:val="05C94494"/>
    <w:rsid w:val="0696261C"/>
    <w:rsid w:val="07702EBF"/>
    <w:rsid w:val="08293E73"/>
    <w:rsid w:val="09A06EBC"/>
    <w:rsid w:val="0A751DDE"/>
    <w:rsid w:val="0A9C156A"/>
    <w:rsid w:val="0B043CFB"/>
    <w:rsid w:val="0B224DC6"/>
    <w:rsid w:val="0CA2647A"/>
    <w:rsid w:val="0D2D3085"/>
    <w:rsid w:val="0D462D5E"/>
    <w:rsid w:val="0DAA7832"/>
    <w:rsid w:val="0DD979BE"/>
    <w:rsid w:val="0FBD7DE5"/>
    <w:rsid w:val="10362DC0"/>
    <w:rsid w:val="10E42CCD"/>
    <w:rsid w:val="11AD4ADB"/>
    <w:rsid w:val="11BD0AA7"/>
    <w:rsid w:val="126445BB"/>
    <w:rsid w:val="129225D0"/>
    <w:rsid w:val="14074B59"/>
    <w:rsid w:val="14A8633C"/>
    <w:rsid w:val="14DD66A2"/>
    <w:rsid w:val="15512530"/>
    <w:rsid w:val="16810234"/>
    <w:rsid w:val="16900E11"/>
    <w:rsid w:val="17070AD9"/>
    <w:rsid w:val="17141A67"/>
    <w:rsid w:val="17254BB9"/>
    <w:rsid w:val="175D4ED0"/>
    <w:rsid w:val="17884203"/>
    <w:rsid w:val="182C0AE7"/>
    <w:rsid w:val="18CA27BE"/>
    <w:rsid w:val="199476C8"/>
    <w:rsid w:val="1AA3690C"/>
    <w:rsid w:val="1AC71843"/>
    <w:rsid w:val="1AD364FF"/>
    <w:rsid w:val="1ADE3486"/>
    <w:rsid w:val="1AF44089"/>
    <w:rsid w:val="1B08700D"/>
    <w:rsid w:val="1B261D69"/>
    <w:rsid w:val="1B4A495B"/>
    <w:rsid w:val="1BF43CB2"/>
    <w:rsid w:val="1C7D1E5D"/>
    <w:rsid w:val="1E0F3C2B"/>
    <w:rsid w:val="1E2C09AB"/>
    <w:rsid w:val="1E897F61"/>
    <w:rsid w:val="1EB055BF"/>
    <w:rsid w:val="1ECC70CB"/>
    <w:rsid w:val="1EF925A9"/>
    <w:rsid w:val="1F1C42EA"/>
    <w:rsid w:val="1F686EFF"/>
    <w:rsid w:val="213B2764"/>
    <w:rsid w:val="228A1178"/>
    <w:rsid w:val="23B23834"/>
    <w:rsid w:val="247A6A25"/>
    <w:rsid w:val="25333A88"/>
    <w:rsid w:val="25776FB2"/>
    <w:rsid w:val="26B047DC"/>
    <w:rsid w:val="26BD4622"/>
    <w:rsid w:val="26C54B2C"/>
    <w:rsid w:val="27BC5F2F"/>
    <w:rsid w:val="27C42B43"/>
    <w:rsid w:val="28C13F2B"/>
    <w:rsid w:val="2A604980"/>
    <w:rsid w:val="2A727AC6"/>
    <w:rsid w:val="2BB94533"/>
    <w:rsid w:val="2C251BC9"/>
    <w:rsid w:val="2CAC44A0"/>
    <w:rsid w:val="2CC80594"/>
    <w:rsid w:val="2D0D36B6"/>
    <w:rsid w:val="2DDE2D69"/>
    <w:rsid w:val="2ECC1930"/>
    <w:rsid w:val="312D39F9"/>
    <w:rsid w:val="31B67ACD"/>
    <w:rsid w:val="32A907A3"/>
    <w:rsid w:val="334D7ECB"/>
    <w:rsid w:val="35007774"/>
    <w:rsid w:val="3503072C"/>
    <w:rsid w:val="356F257B"/>
    <w:rsid w:val="35786F8C"/>
    <w:rsid w:val="35E30AE8"/>
    <w:rsid w:val="36CC19BA"/>
    <w:rsid w:val="36F5483C"/>
    <w:rsid w:val="38003C16"/>
    <w:rsid w:val="38325D99"/>
    <w:rsid w:val="389425B0"/>
    <w:rsid w:val="3A0948D8"/>
    <w:rsid w:val="3A9D764F"/>
    <w:rsid w:val="3B112614"/>
    <w:rsid w:val="3C65673D"/>
    <w:rsid w:val="3CF06FED"/>
    <w:rsid w:val="3D50551B"/>
    <w:rsid w:val="3D6C7658"/>
    <w:rsid w:val="3DC2628F"/>
    <w:rsid w:val="3DD60AE2"/>
    <w:rsid w:val="3E5C0069"/>
    <w:rsid w:val="3E7A2DAA"/>
    <w:rsid w:val="3E8B1175"/>
    <w:rsid w:val="3F565644"/>
    <w:rsid w:val="3FB97B2C"/>
    <w:rsid w:val="3FBC1954"/>
    <w:rsid w:val="40181D19"/>
    <w:rsid w:val="40BD676E"/>
    <w:rsid w:val="40FE2C84"/>
    <w:rsid w:val="417E75E8"/>
    <w:rsid w:val="41910115"/>
    <w:rsid w:val="41D908F9"/>
    <w:rsid w:val="438B3EDE"/>
    <w:rsid w:val="446F57B3"/>
    <w:rsid w:val="44F31851"/>
    <w:rsid w:val="45AA573E"/>
    <w:rsid w:val="45B275F5"/>
    <w:rsid w:val="45BA0321"/>
    <w:rsid w:val="46BC33FE"/>
    <w:rsid w:val="46EE7477"/>
    <w:rsid w:val="47BC0C07"/>
    <w:rsid w:val="483B08B4"/>
    <w:rsid w:val="489259CA"/>
    <w:rsid w:val="498B3956"/>
    <w:rsid w:val="4ACE54AE"/>
    <w:rsid w:val="4AE051C0"/>
    <w:rsid w:val="4BC53306"/>
    <w:rsid w:val="4C15710C"/>
    <w:rsid w:val="4C2E5FB6"/>
    <w:rsid w:val="4C9444D5"/>
    <w:rsid w:val="4C9B1D07"/>
    <w:rsid w:val="4CE2174D"/>
    <w:rsid w:val="4DCD11E2"/>
    <w:rsid w:val="4E141911"/>
    <w:rsid w:val="4E370E84"/>
    <w:rsid w:val="4E7D1A3E"/>
    <w:rsid w:val="4F7C19ED"/>
    <w:rsid w:val="4FB142EA"/>
    <w:rsid w:val="50083136"/>
    <w:rsid w:val="513814F5"/>
    <w:rsid w:val="51497716"/>
    <w:rsid w:val="520457CB"/>
    <w:rsid w:val="522C2C59"/>
    <w:rsid w:val="52946FDD"/>
    <w:rsid w:val="539774E2"/>
    <w:rsid w:val="53FF0A7D"/>
    <w:rsid w:val="541A03F5"/>
    <w:rsid w:val="54C5216A"/>
    <w:rsid w:val="54D577A2"/>
    <w:rsid w:val="55357439"/>
    <w:rsid w:val="55C86A12"/>
    <w:rsid w:val="569642F6"/>
    <w:rsid w:val="57C67547"/>
    <w:rsid w:val="589A572D"/>
    <w:rsid w:val="58B63ACA"/>
    <w:rsid w:val="58C92DB8"/>
    <w:rsid w:val="5A2C4216"/>
    <w:rsid w:val="5A3433AD"/>
    <w:rsid w:val="5A35315D"/>
    <w:rsid w:val="5A8D48B3"/>
    <w:rsid w:val="5B761B8D"/>
    <w:rsid w:val="5D01514B"/>
    <w:rsid w:val="5DBA0782"/>
    <w:rsid w:val="5DEA664B"/>
    <w:rsid w:val="5F2D396D"/>
    <w:rsid w:val="60D04179"/>
    <w:rsid w:val="62641034"/>
    <w:rsid w:val="6374691F"/>
    <w:rsid w:val="643B2EFE"/>
    <w:rsid w:val="65005919"/>
    <w:rsid w:val="658904F7"/>
    <w:rsid w:val="665A019F"/>
    <w:rsid w:val="6672068F"/>
    <w:rsid w:val="670C6B88"/>
    <w:rsid w:val="670E33AA"/>
    <w:rsid w:val="67550FD9"/>
    <w:rsid w:val="67672ABA"/>
    <w:rsid w:val="68AC5DD9"/>
    <w:rsid w:val="68C926A3"/>
    <w:rsid w:val="692857E0"/>
    <w:rsid w:val="695F2DBB"/>
    <w:rsid w:val="69B37122"/>
    <w:rsid w:val="69E70454"/>
    <w:rsid w:val="6A6C5C24"/>
    <w:rsid w:val="6A832AFB"/>
    <w:rsid w:val="6B5E6742"/>
    <w:rsid w:val="6CD40DBF"/>
    <w:rsid w:val="6D0D24E0"/>
    <w:rsid w:val="6DA050EC"/>
    <w:rsid w:val="6E0440FB"/>
    <w:rsid w:val="6EED5F9B"/>
    <w:rsid w:val="6F190B3E"/>
    <w:rsid w:val="6FCC5BB0"/>
    <w:rsid w:val="71AF6B64"/>
    <w:rsid w:val="726A345E"/>
    <w:rsid w:val="72845AC6"/>
    <w:rsid w:val="72F8490A"/>
    <w:rsid w:val="73ED08CD"/>
    <w:rsid w:val="74120755"/>
    <w:rsid w:val="74342377"/>
    <w:rsid w:val="745C662B"/>
    <w:rsid w:val="74B308B5"/>
    <w:rsid w:val="74FD001D"/>
    <w:rsid w:val="75247769"/>
    <w:rsid w:val="753F0E71"/>
    <w:rsid w:val="75410DEE"/>
    <w:rsid w:val="75716A92"/>
    <w:rsid w:val="758D2516"/>
    <w:rsid w:val="7599235F"/>
    <w:rsid w:val="76AD4E1A"/>
    <w:rsid w:val="76B120AE"/>
    <w:rsid w:val="77406E00"/>
    <w:rsid w:val="7858402F"/>
    <w:rsid w:val="78D50787"/>
    <w:rsid w:val="79077C59"/>
    <w:rsid w:val="79FE2EB5"/>
    <w:rsid w:val="7A7C6425"/>
    <w:rsid w:val="7B8F04A8"/>
    <w:rsid w:val="7C594C70"/>
    <w:rsid w:val="7C95557C"/>
    <w:rsid w:val="7D3F0A9F"/>
    <w:rsid w:val="7D5C2F57"/>
    <w:rsid w:val="7DC41D70"/>
    <w:rsid w:val="7E0261DA"/>
    <w:rsid w:val="7FA1147B"/>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2">
    <w:name w:val="Default Paragraph Font"/>
    <w:autoRedefine/>
    <w:unhideWhenUsed/>
    <w:qFormat/>
    <w:uiPriority w:val="1"/>
  </w:style>
  <w:style w:type="table" w:default="1" w:styleId="20">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header"/>
    <w:basedOn w:val="1"/>
    <w:link w:val="3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5"/>
    <w:autoRedefine/>
    <w:qFormat/>
    <w:uiPriority w:val="0"/>
    <w:rPr>
      <w:sz w:val="18"/>
      <w:szCs w:val="18"/>
    </w:rPr>
  </w:style>
  <w:style w:type="paragraph" w:styleId="13">
    <w:name w:val="footer"/>
    <w:basedOn w:val="1"/>
    <w:next w:val="1"/>
    <w:autoRedefine/>
    <w:qFormat/>
    <w:uiPriority w:val="99"/>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7">
    <w:name w:val="Title"/>
    <w:basedOn w:val="1"/>
    <w:next w:val="1"/>
    <w:autoRedefine/>
    <w:qFormat/>
    <w:uiPriority w:val="0"/>
    <w:pPr>
      <w:jc w:val="center"/>
      <w:outlineLvl w:val="0"/>
    </w:pPr>
    <w:rPr>
      <w:rFonts w:ascii="Cambria" w:hAnsi="Cambria"/>
      <w:b/>
      <w:bCs/>
      <w:kern w:val="0"/>
      <w:sz w:val="32"/>
      <w:szCs w:val="32"/>
    </w:rPr>
  </w:style>
  <w:style w:type="paragraph" w:styleId="18">
    <w:name w:val="Body Text First Indent"/>
    <w:basedOn w:val="8"/>
    <w:autoRedefine/>
    <w:qFormat/>
    <w:uiPriority w:val="0"/>
    <w:pPr>
      <w:ind w:firstLine="420" w:firstLineChars="100"/>
    </w:pPr>
    <w:rPr>
      <w:rFonts w:ascii="Times New Roman" w:hAnsi="Times New Roman"/>
      <w:szCs w:val="20"/>
    </w:rPr>
  </w:style>
  <w:style w:type="paragraph" w:styleId="19">
    <w:name w:val="Body Text First Indent 2"/>
    <w:basedOn w:val="9"/>
    <w:autoRedefine/>
    <w:qFormat/>
    <w:uiPriority w:val="99"/>
    <w:pPr>
      <w:tabs>
        <w:tab w:val="left" w:pos="4606"/>
      </w:tabs>
      <w:ind w:firstLine="420"/>
    </w:pPr>
  </w:style>
  <w:style w:type="table" w:styleId="21">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autoRedefine/>
    <w:qFormat/>
    <w:uiPriority w:val="0"/>
    <w:rPr>
      <w:b/>
      <w:bCs/>
    </w:rPr>
  </w:style>
  <w:style w:type="character" w:styleId="24">
    <w:name w:val="Hyperlink"/>
    <w:basedOn w:val="22"/>
    <w:autoRedefine/>
    <w:qFormat/>
    <w:uiPriority w:val="0"/>
    <w:rPr>
      <w:color w:val="0000FF"/>
      <w:u w:val="single"/>
    </w:rPr>
  </w:style>
  <w:style w:type="character" w:styleId="25">
    <w:name w:val="annotation reference"/>
    <w:basedOn w:val="22"/>
    <w:autoRedefine/>
    <w:qFormat/>
    <w:uiPriority w:val="0"/>
    <w:rPr>
      <w:sz w:val="21"/>
      <w:szCs w:val="21"/>
    </w:rPr>
  </w:style>
  <w:style w:type="paragraph" w:customStyle="1" w:styleId="26">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customStyle="1" w:styleId="28">
    <w:name w:val="样式3"/>
    <w:basedOn w:val="10"/>
    <w:autoRedefine/>
    <w:qFormat/>
    <w:uiPriority w:val="0"/>
    <w:pPr>
      <w:spacing w:line="0" w:lineRule="atLeast"/>
      <w:outlineLvl w:val="0"/>
    </w:pPr>
    <w:rPr>
      <w:sz w:val="28"/>
    </w:rPr>
  </w:style>
  <w:style w:type="character" w:customStyle="1" w:styleId="29">
    <w:name w:val="NormalCharacter"/>
    <w:autoRedefine/>
    <w:semiHidden/>
    <w:qFormat/>
    <w:uiPriority w:val="0"/>
    <w:rPr>
      <w:kern w:val="2"/>
      <w:sz w:val="21"/>
      <w:szCs w:val="24"/>
      <w:lang w:val="en-US" w:eastAsia="zh-CN" w:bidi="ar-SA"/>
    </w:rPr>
  </w:style>
  <w:style w:type="paragraph" w:customStyle="1" w:styleId="30">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1">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converted-space"/>
    <w:autoRedefine/>
    <w:qFormat/>
    <w:uiPriority w:val="0"/>
    <w:rPr>
      <w:rFonts w:ascii="Times New Roman" w:hAnsi="Times New Roman" w:eastAsia="宋体" w:cs="Times New Roman"/>
    </w:rPr>
  </w:style>
  <w:style w:type="paragraph" w:customStyle="1" w:styleId="33">
    <w:name w:val="null3"/>
    <w:autoRedefine/>
    <w:qFormat/>
    <w:uiPriority w:val="0"/>
    <w:rPr>
      <w:rFonts w:hint="eastAsia" w:ascii="Calibri" w:hAnsi="Calibri" w:eastAsia="宋体" w:cs="Times New Roman"/>
      <w:lang w:val="en-US" w:eastAsia="zh-CN" w:bidi="ar-SA"/>
    </w:rPr>
  </w:style>
  <w:style w:type="character" w:customStyle="1" w:styleId="34">
    <w:name w:val="页眉 Char"/>
    <w:basedOn w:val="22"/>
    <w:link w:val="6"/>
    <w:autoRedefine/>
    <w:qFormat/>
    <w:uiPriority w:val="0"/>
    <w:rPr>
      <w:rFonts w:ascii="Calibri" w:hAnsi="Calibri"/>
      <w:kern w:val="2"/>
      <w:sz w:val="18"/>
      <w:szCs w:val="18"/>
    </w:rPr>
  </w:style>
  <w:style w:type="character" w:customStyle="1" w:styleId="35">
    <w:name w:val="批注框文本 Char"/>
    <w:basedOn w:val="22"/>
    <w:link w:val="1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9024</Words>
  <Characters>9493</Characters>
  <Lines>186</Lines>
  <Paragraphs>52</Paragraphs>
  <TotalTime>1</TotalTime>
  <ScaleCrop>false</ScaleCrop>
  <LinksUpToDate>false</LinksUpToDate>
  <CharactersWithSpaces>9929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2026-01-04T03:26:39Z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5DC5B60B13FB4E32BFFE8BA62B3A4854_13</vt:lpwstr>
  </property>
  <property fmtid="{D5CDD505-2E9C-101B-9397-08002B2CF9AE}" pid="4" name="KSOTemplateDocerSaveRecord">
    <vt:lpwstr>eyJoZGlkIjoiMzNlMTg1ZmRhMjJhMzI1NTNjZGIzMDVkMDhlZjg2ZmMiLCJ1c2VySWQiOiI2MTM2Nzk1NDkifQ==</vt:lpwstr>
  </property>
</Properties>
</file>