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72"/>
          <w:szCs w:val="72"/>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eastAsia="zh-CN"/>
        </w:rPr>
      </w:pPr>
      <w:r>
        <w:rPr>
          <w:rFonts w:hint="eastAsia" w:ascii="宋体" w:hAnsi="宋体" w:cs="宋体"/>
          <w:b/>
          <w:color w:val="auto"/>
          <w:sz w:val="60"/>
          <w:szCs w:val="60"/>
          <w:highlight w:val="none"/>
          <w:lang w:eastAsia="zh-CN"/>
        </w:rPr>
        <w:t>网上竞价文件</w:t>
      </w:r>
    </w:p>
    <w:p w14:paraId="787704FE">
      <w:pPr>
        <w:pStyle w:val="9"/>
        <w:spacing w:line="0" w:lineRule="atLeast"/>
        <w:rPr>
          <w:rFonts w:hAnsi="宋体"/>
          <w:b/>
          <w:color w:val="auto"/>
          <w:sz w:val="32"/>
          <w:highlight w:val="none"/>
        </w:rPr>
      </w:pPr>
    </w:p>
    <w:p w14:paraId="6CBF94AB">
      <w:pPr>
        <w:pStyle w:val="9"/>
        <w:spacing w:line="0" w:lineRule="atLeast"/>
        <w:jc w:val="center"/>
        <w:rPr>
          <w:rFonts w:hAnsi="宋体"/>
          <w:b/>
          <w:color w:val="auto"/>
          <w:sz w:val="36"/>
          <w:highlight w:val="none"/>
        </w:rPr>
      </w:pPr>
    </w:p>
    <w:p w14:paraId="0DC222AE">
      <w:pPr>
        <w:pStyle w:val="9"/>
        <w:spacing w:line="0" w:lineRule="atLeast"/>
        <w:jc w:val="both"/>
        <w:rPr>
          <w:rFonts w:hAnsi="宋体"/>
          <w:b/>
          <w:color w:val="auto"/>
          <w:sz w:val="36"/>
          <w:highlight w:val="none"/>
        </w:rPr>
      </w:pPr>
    </w:p>
    <w:p w14:paraId="0DD67B47">
      <w:pPr>
        <w:pStyle w:val="9"/>
        <w:spacing w:line="0" w:lineRule="atLeast"/>
        <w:jc w:val="both"/>
        <w:rPr>
          <w:rFonts w:hAnsi="宋体"/>
          <w:b/>
          <w:color w:val="auto"/>
          <w:sz w:val="36"/>
          <w:highlight w:val="none"/>
        </w:rPr>
      </w:pPr>
    </w:p>
    <w:p w14:paraId="7F3ECCF0">
      <w:pPr>
        <w:pStyle w:val="9"/>
        <w:spacing w:line="0" w:lineRule="atLeast"/>
        <w:jc w:val="both"/>
        <w:rPr>
          <w:rFonts w:hAnsi="宋体"/>
          <w:b/>
          <w:color w:val="auto"/>
          <w:sz w:val="36"/>
          <w:highlight w:val="none"/>
        </w:rPr>
      </w:pPr>
    </w:p>
    <w:p w14:paraId="65572771">
      <w:pPr>
        <w:pStyle w:val="9"/>
        <w:spacing w:line="400" w:lineRule="exact"/>
        <w:rPr>
          <w:rFonts w:hAnsi="宋体"/>
          <w:b/>
          <w:color w:val="auto"/>
          <w:sz w:val="36"/>
          <w:highlight w:val="none"/>
        </w:rPr>
      </w:pPr>
    </w:p>
    <w:p w14:paraId="31591C01">
      <w:pPr>
        <w:pStyle w:val="9"/>
        <w:spacing w:line="640" w:lineRule="exact"/>
        <w:jc w:val="center"/>
        <w:rPr>
          <w:rFonts w:hint="default"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JJZB-WJ-2025035</w:t>
      </w:r>
      <w:r>
        <w:rPr>
          <w:rFonts w:hint="eastAsia" w:hAnsi="宋体"/>
          <w:b/>
          <w:color w:val="auto"/>
          <w:sz w:val="32"/>
          <w:szCs w:val="32"/>
          <w:highlight w:val="none"/>
          <w:lang w:val="en-US" w:eastAsia="zh-CN"/>
        </w:rPr>
        <w:t>-1</w:t>
      </w:r>
    </w:p>
    <w:p w14:paraId="6385ECEA">
      <w:pPr>
        <w:pStyle w:val="9"/>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福州职业技术学院《创新创业基础与实践》数字教材出版服务采购项目（</w:t>
      </w:r>
      <w:r>
        <w:rPr>
          <w:rFonts w:hint="eastAsia" w:hAnsi="宋体"/>
          <w:b/>
          <w:color w:val="auto"/>
          <w:sz w:val="32"/>
          <w:szCs w:val="32"/>
          <w:highlight w:val="none"/>
          <w:lang w:val="en-US" w:eastAsia="zh-CN"/>
        </w:rPr>
        <w:t>二次</w:t>
      </w:r>
      <w:r>
        <w:rPr>
          <w:rFonts w:hint="eastAsia" w:hAnsi="宋体"/>
          <w:b/>
          <w:color w:val="auto"/>
          <w:sz w:val="32"/>
          <w:szCs w:val="32"/>
          <w:highlight w:val="none"/>
          <w:lang w:eastAsia="zh-CN"/>
        </w:rPr>
        <w:t>）</w:t>
      </w:r>
    </w:p>
    <w:p w14:paraId="4D39A686">
      <w:pPr>
        <w:pStyle w:val="9"/>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4"/>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十二</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福州职业技术学院《创新创业基础与实践》数字教材出版服务采购项目（</w:t>
      </w:r>
      <w:r>
        <w:rPr>
          <w:rFonts w:hint="eastAsia" w:ascii="宋体" w:hAnsi="宋体" w:cs="宋体"/>
          <w:b/>
          <w:bCs/>
          <w:color w:val="auto"/>
          <w:kern w:val="0"/>
          <w:sz w:val="24"/>
          <w:highlight w:val="none"/>
          <w:u w:val="single"/>
          <w:lang w:val="en-US" w:eastAsia="zh-CN"/>
        </w:rPr>
        <w:t>二次</w:t>
      </w:r>
      <w:r>
        <w:rPr>
          <w:rFonts w:hint="eastAsia" w:ascii="宋体" w:hAnsi="宋体" w:cs="宋体"/>
          <w:b/>
          <w:bCs/>
          <w:color w:val="auto"/>
          <w:kern w:val="0"/>
          <w:sz w:val="24"/>
          <w:highlight w:val="none"/>
          <w:u w:val="single"/>
          <w:lang w:eastAsia="zh-CN"/>
        </w:rPr>
        <w:t>）</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eastAsia="宋体" w:cs="宋体"/>
          <w:b/>
          <w:bCs/>
          <w:color w:val="auto"/>
          <w:sz w:val="24"/>
          <w:highlight w:val="none"/>
          <w:u w:val="single"/>
          <w:lang w:val="en-US"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JJZB-WJ-2025035</w:t>
      </w:r>
      <w:r>
        <w:rPr>
          <w:rFonts w:hint="eastAsia" w:ascii="宋体" w:hAnsi="宋体" w:cs="宋体"/>
          <w:b/>
          <w:bCs/>
          <w:color w:val="auto"/>
          <w:kern w:val="0"/>
          <w:sz w:val="24"/>
          <w:highlight w:val="none"/>
          <w:u w:val="single"/>
          <w:lang w:val="en-US" w:eastAsia="zh-CN"/>
        </w:rPr>
        <w:t>-1</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福州职业技术学院《创新创业基础与实践》数字教材出版服务采购项目（</w:t>
      </w:r>
      <w:r>
        <w:rPr>
          <w:rFonts w:hint="eastAsia" w:ascii="宋体" w:hAnsi="宋体" w:cs="宋体"/>
          <w:b/>
          <w:bCs/>
          <w:color w:val="auto"/>
          <w:kern w:val="0"/>
          <w:sz w:val="24"/>
          <w:highlight w:val="none"/>
          <w:u w:val="single"/>
          <w:lang w:val="en-US" w:eastAsia="zh-CN"/>
        </w:rPr>
        <w:t>二次</w:t>
      </w:r>
      <w:r>
        <w:rPr>
          <w:rFonts w:hint="eastAsia" w:ascii="宋体" w:hAnsi="宋体" w:cs="宋体"/>
          <w:b/>
          <w:bCs/>
          <w:color w:val="auto"/>
          <w:kern w:val="0"/>
          <w:sz w:val="24"/>
          <w:highlight w:val="none"/>
          <w:u w:val="single"/>
          <w:lang w:eastAsia="zh-CN"/>
        </w:rPr>
        <w:t>）</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名称、数量及主要技术规格售后服务要求等详见“第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259A5A7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bookmarkStart w:id="0" w:name="_Toc21403"/>
      <w:r>
        <w:rPr>
          <w:rFonts w:hint="eastAsia" w:ascii="宋体" w:hAnsi="宋体" w:eastAsia="宋体" w:cs="宋体"/>
          <w:color w:val="auto"/>
          <w:kern w:val="0"/>
          <w:sz w:val="24"/>
          <w:highlight w:val="none"/>
        </w:rPr>
        <w:t>报名开始时间：2025年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24</w:t>
      </w:r>
      <w:r>
        <w:rPr>
          <w:rFonts w:hint="eastAsia" w:ascii="宋体" w:hAnsi="宋体" w:eastAsia="宋体" w:cs="宋体"/>
          <w:color w:val="auto"/>
          <w:kern w:val="0"/>
          <w:sz w:val="24"/>
          <w:highlight w:val="none"/>
        </w:rPr>
        <w:t>日08:30:00</w:t>
      </w:r>
    </w:p>
    <w:p w14:paraId="6DA07D9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26</w:t>
      </w:r>
      <w:r>
        <w:rPr>
          <w:rFonts w:hint="eastAsia" w:ascii="宋体" w:hAnsi="宋体" w:eastAsia="宋体" w:cs="宋体"/>
          <w:color w:val="auto"/>
          <w:kern w:val="0"/>
          <w:sz w:val="24"/>
          <w:highlight w:val="none"/>
        </w:rPr>
        <w:t>日17:00:00</w:t>
      </w:r>
    </w:p>
    <w:p w14:paraId="09FFF179">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日09:00:00</w:t>
      </w:r>
    </w:p>
    <w:p w14:paraId="76AEF97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网上竞价截止时间：2025年</w:t>
      </w:r>
      <w:r>
        <w:rPr>
          <w:rFonts w:hint="eastAsia" w:ascii="宋体" w:hAnsi="宋体" w:cs="宋体"/>
          <w:color w:val="auto"/>
          <w:kern w:val="0"/>
          <w:sz w:val="24"/>
          <w:highlight w:val="none"/>
          <w:lang w:val="en-US" w:eastAsia="zh-CN"/>
        </w:rPr>
        <w:t>12</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29</w:t>
      </w:r>
      <w:r>
        <w:rPr>
          <w:rFonts w:hint="eastAsia" w:ascii="宋体" w:hAnsi="宋体" w:eastAsia="宋体" w:cs="宋体"/>
          <w:color w:val="auto"/>
          <w:kern w:val="0"/>
          <w:sz w:val="24"/>
          <w:highlight w:val="none"/>
        </w:rPr>
        <w:t>日11:00:00</w:t>
      </w:r>
      <w:bookmarkStart w:id="8" w:name="_GoBack"/>
      <w:bookmarkEnd w:id="8"/>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（1）有能力提供本网上竞价文件所述货物、服务和工程的法人、事业单位及其他组织均可能成为合格的供应商；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widowControl w:val="0"/>
        <w:kinsoku/>
        <w:wordWrap/>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b/>
          <w:bCs/>
          <w:sz w:val="24"/>
          <w:highlight w:val="none"/>
          <w:lang w:val="en-US" w:eastAsia="zh-CN"/>
        </w:rPr>
        <w:t>供应商须具备国家新闻出版主管部门颁发的有效《图书出版许可证》和《网络出版服务许可证》（</w:t>
      </w:r>
      <w:r>
        <w:rPr>
          <w:rFonts w:hint="eastAsia" w:ascii="宋体" w:hAnsi="宋体" w:eastAsia="宋体" w:cs="宋体"/>
          <w:b/>
          <w:bCs/>
          <w:color w:val="auto"/>
          <w:kern w:val="0"/>
          <w:sz w:val="24"/>
          <w:highlight w:val="none"/>
        </w:rPr>
        <w:t>提供相关证书复印件加盖供应商公章</w:t>
      </w:r>
      <w:r>
        <w:rPr>
          <w:rFonts w:hint="eastAsia" w:ascii="宋体" w:hAnsi="宋体" w:cs="宋体"/>
          <w:b/>
          <w:bCs/>
          <w:sz w:val="24"/>
          <w:highlight w:val="none"/>
          <w:lang w:val="en-US" w:eastAsia="zh-CN"/>
        </w:rPr>
        <w:t>）</w:t>
      </w:r>
      <w:r>
        <w:rPr>
          <w:rFonts w:hint="eastAsia" w:ascii="宋体" w:hAnsi="宋体" w:eastAsia="宋体" w:cs="宋体"/>
          <w:b/>
          <w:bCs/>
          <w:sz w:val="24"/>
          <w:highlight w:val="none"/>
          <w:lang w:val="en-US"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500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 xml:space="preserve">韩艳春 18159181223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 xml:space="preserve">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17908D10">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若供应商的响应文件存在网上竞价文件中规定无效响应情形的，则报名审核不合格，该供应商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w:t>
      </w:r>
      <w:r>
        <w:rPr>
          <w:rStyle w:val="31"/>
          <w:rFonts w:hint="eastAsia" w:ascii="Times New Roman" w:hAnsi="Times New Roman" w:cs="Times New Roman"/>
          <w:color w:val="auto"/>
          <w:sz w:val="24"/>
          <w:highlight w:val="none"/>
        </w:rPr>
        <w:t>本次采购活动结束，采购人将按照相关规定进行后续采购活动（包括但不限于：重新开展网上竞价活动、采用其他方式采购等）。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5539A19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若合格供应商数量不足三家的（除“</w:t>
      </w:r>
      <w:r>
        <w:rPr>
          <w:rStyle w:val="31"/>
          <w:rFonts w:ascii="Times New Roman" w:hAnsi="Times New Roman" w:cs="Times New Roman"/>
          <w:b/>
          <w:bCs/>
          <w:color w:val="auto"/>
          <w:sz w:val="24"/>
          <w:highlight w:val="none"/>
        </w:rPr>
        <w:t>首次采用网上竞价采购方式流标的项目，在组织新一轮网上竞价采购时，采购过程中合格的供应商只有两家时，可以直接与该两家供应商进行网上竞价采购</w:t>
      </w:r>
      <w:r>
        <w:rPr>
          <w:rStyle w:val="31"/>
          <w:rFonts w:hint="eastAsia" w:ascii="Times New Roman" w:hAnsi="Times New Roman" w:cs="Times New Roman"/>
          <w:b/>
          <w:bCs/>
          <w:color w:val="auto"/>
          <w:sz w:val="24"/>
          <w:highlight w:val="none"/>
        </w:rPr>
        <w:t>”情形外），本次采购活动结束，采购人将按照相关规定进行后续采购活动（包括但不限于：重新开展网上竞价活动、采用其他方式采购等）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9"/>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供应商在竞价系统中提交报价时须上传《报价一览表》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0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2"/>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keepNext w:val="0"/>
        <w:keepLines w:val="0"/>
        <w:pageBreakBefore w:val="0"/>
        <w:topLinePunct w:val="0"/>
        <w:bidi w:val="0"/>
        <w:spacing w:line="4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九、参与本项投标的竞价人若属于以下规定的关联企业情形的，不得同时参与本项目投标，否则互为关联企业的竞价人投标均无效。情形如下：</w:t>
      </w:r>
    </w:p>
    <w:p w14:paraId="5B4FB6B5">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137AE189">
      <w:pPr>
        <w:keepNext w:val="0"/>
        <w:keepLines w:val="0"/>
        <w:pageBreakBefore w:val="0"/>
        <w:topLinePunct w:val="0"/>
        <w:bidi w:val="0"/>
        <w:spacing w:line="4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0F0F8052">
      <w:pPr>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400" w:lineRule="exact"/>
        <w:outlineLvl w:val="1"/>
        <w:rPr>
          <w:rFonts w:ascii="宋体" w:hAnsi="宋体" w:cs="宋体"/>
          <w:b/>
          <w:color w:val="auto"/>
          <w:sz w:val="24"/>
          <w:szCs w:val="24"/>
          <w:highlight w:val="none"/>
        </w:rPr>
      </w:pPr>
      <w:bookmarkStart w:id="1" w:name="_Toc359317661"/>
      <w:bookmarkStart w:id="2" w:name="_Toc358016816"/>
      <w:bookmarkStart w:id="3" w:name="_Toc346300367"/>
      <w:bookmarkStart w:id="4" w:name="_Toc330567034"/>
      <w:bookmarkStart w:id="5" w:name="_Toc347060296"/>
      <w:bookmarkStart w:id="6" w:name="_Toc327948617"/>
      <w:r>
        <w:rPr>
          <w:rFonts w:hint="eastAsia" w:ascii="宋体" w:hAnsi="宋体" w:cs="宋体"/>
          <w:b/>
          <w:color w:val="auto"/>
          <w:sz w:val="24"/>
          <w:szCs w:val="24"/>
          <w:highlight w:val="none"/>
        </w:rPr>
        <w:t>一、项目概述</w:t>
      </w:r>
      <w:bookmarkEnd w:id="1"/>
      <w:bookmarkEnd w:id="2"/>
    </w:p>
    <w:p w14:paraId="5D20EB52">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本项目为《创新创业基础与实践》数字教材的出版服务采购，目的在于为采购人（福州职业技术学院）提供符合教学需求的、高质量的数字教材。服务内容需涵盖从内容编校、封面设计、排版、书号申请、平台上传制作等在内的全流程出版服务。</w:t>
      </w:r>
    </w:p>
    <w:p w14:paraId="401C1468">
      <w:pPr>
        <w:pStyle w:val="33"/>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keepNext w:val="0"/>
        <w:keepLines w:val="0"/>
        <w:pageBreakBefore w:val="0"/>
        <w:kinsoku/>
        <w:wordWrap/>
        <w:overflowPunct/>
        <w:topLinePunct w:val="0"/>
        <w:autoSpaceDE/>
        <w:autoSpaceDN/>
        <w:bidi w:val="0"/>
        <w:adjustRightInd/>
        <w:snapToGrid/>
        <w:spacing w:line="400" w:lineRule="exact"/>
        <w:ind w:firstLine="480" w:firstLineChars="200"/>
        <w:jc w:val="right"/>
        <w:rPr>
          <w:rFonts w:ascii="宋体" w:hAnsi="宋体"/>
          <w:color w:val="auto"/>
          <w:sz w:val="24"/>
          <w:szCs w:val="24"/>
          <w:highlight w:val="none"/>
        </w:rPr>
      </w:pPr>
      <w:r>
        <w:rPr>
          <w:rFonts w:hint="eastAsia" w:ascii="宋体" w:hAnsi="宋体"/>
          <w:color w:val="auto"/>
          <w:sz w:val="24"/>
          <w:szCs w:val="24"/>
          <w:highlight w:val="none"/>
        </w:rPr>
        <w:t>金额单位：人民币元</w:t>
      </w:r>
    </w:p>
    <w:tbl>
      <w:tblPr>
        <w:tblStyle w:val="22"/>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767"/>
        <w:gridCol w:w="1935"/>
        <w:gridCol w:w="827"/>
        <w:gridCol w:w="2188"/>
        <w:gridCol w:w="1790"/>
        <w:gridCol w:w="1293"/>
      </w:tblGrid>
      <w:tr w14:paraId="2365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lang w:val="en-US" w:eastAsia="zh-CN"/>
              </w:rPr>
              <w:t>服务名称</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交付时间</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0DAA141B">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最高限价</w:t>
            </w:r>
          </w:p>
        </w:tc>
      </w:tr>
      <w:tr w14:paraId="4F7D7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795"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935" w:type="dxa"/>
            <w:tcBorders>
              <w:top w:val="single" w:color="auto" w:sz="4" w:space="0"/>
              <w:left w:val="single" w:color="auto" w:sz="4" w:space="0"/>
              <w:bottom w:val="single" w:color="auto" w:sz="4" w:space="0"/>
              <w:right w:val="single" w:color="auto" w:sz="4" w:space="0"/>
            </w:tcBorders>
            <w:noWrap w:val="0"/>
            <w:vAlign w:val="center"/>
          </w:tcPr>
          <w:p w14:paraId="52E444C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default" w:ascii="宋体" w:hAnsi="宋体" w:eastAsia="宋体" w:cs="新宋体"/>
                <w:b w:val="0"/>
                <w:bCs w:val="0"/>
                <w:color w:val="auto"/>
                <w:kern w:val="0"/>
                <w:sz w:val="24"/>
                <w:szCs w:val="24"/>
                <w:highlight w:val="none"/>
                <w:lang w:val="en-US" w:eastAsia="zh-CN"/>
              </w:rPr>
              <w:t>《创新创业基础与实践》数字教材出版服务</w:t>
            </w:r>
          </w:p>
        </w:tc>
        <w:tc>
          <w:tcPr>
            <w:tcW w:w="827"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2188"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color w:val="0000FF"/>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自签订合同之日起至2026年10月1日前交付完成</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93" w:type="dxa"/>
            <w:tcBorders>
              <w:top w:val="single" w:color="auto" w:sz="4" w:space="0"/>
              <w:left w:val="single" w:color="auto" w:sz="4" w:space="0"/>
              <w:bottom w:val="single" w:color="auto" w:sz="4" w:space="0"/>
              <w:right w:val="single" w:color="auto" w:sz="4" w:space="0"/>
            </w:tcBorders>
            <w:noWrap w:val="0"/>
            <w:vAlign w:val="center"/>
          </w:tcPr>
          <w:p w14:paraId="7F2EA07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50000.00</w:t>
            </w:r>
          </w:p>
        </w:tc>
      </w:tr>
    </w:tbl>
    <w:p w14:paraId="494F6A1F">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本项目</w:t>
      </w:r>
      <w:r>
        <w:rPr>
          <w:rFonts w:hint="eastAsia" w:ascii="宋体" w:hAnsi="宋体" w:cs="宋体"/>
          <w:color w:val="auto"/>
          <w:kern w:val="0"/>
          <w:sz w:val="24"/>
          <w:szCs w:val="24"/>
          <w:highlight w:val="none"/>
          <w:lang w:val="en-US" w:eastAsia="zh-CN" w:bidi="ar-SA"/>
        </w:rPr>
        <w:t>采购</w:t>
      </w:r>
      <w:r>
        <w:rPr>
          <w:rFonts w:hint="eastAsia" w:ascii="宋体" w:hAnsi="宋体" w:eastAsia="宋体" w:cs="宋体"/>
          <w:color w:val="auto"/>
          <w:kern w:val="0"/>
          <w:sz w:val="24"/>
          <w:szCs w:val="24"/>
          <w:highlight w:val="none"/>
          <w:lang w:val="en-US" w:eastAsia="zh-CN" w:bidi="ar-SA"/>
        </w:rPr>
        <w:t>包成交候选人数量：1名。</w:t>
      </w:r>
    </w:p>
    <w:p w14:paraId="34833533">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lang w:val="en-US" w:eastAsia="zh-CN" w:bidi="ar-SA"/>
        </w:rPr>
        <w:t>4</w:t>
      </w:r>
      <w:r>
        <w:rPr>
          <w:rFonts w:hint="eastAsia" w:ascii="宋体" w:hAnsi="宋体" w:eastAsia="宋体" w:cs="宋体"/>
          <w:color w:val="auto"/>
          <w:kern w:val="0"/>
          <w:sz w:val="24"/>
          <w:szCs w:val="24"/>
          <w:lang w:val="en-US" w:eastAsia="zh-CN" w:bidi="ar-SA"/>
        </w:rPr>
        <w:t>、</w:t>
      </w:r>
      <w:r>
        <w:rPr>
          <w:rFonts w:hint="eastAsia" w:ascii="宋体" w:hAnsi="宋体" w:eastAsia="宋体" w:cs="宋体"/>
          <w:color w:val="auto"/>
          <w:kern w:val="0"/>
          <w:sz w:val="24"/>
          <w:szCs w:val="24"/>
          <w:highlight w:val="none"/>
          <w:lang w:val="en-US" w:eastAsia="zh-CN" w:bidi="ar-SA"/>
        </w:rPr>
        <w:t>供应商投标单价不得超过单价最高限价，投标总价不得超过总价最高限价，否则报价无效。</w:t>
      </w:r>
    </w:p>
    <w:p w14:paraId="3E4145C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SA"/>
        </w:rPr>
        <w:t>供应商报价应包含本次项目所涉及到的所有费用，包括</w:t>
      </w:r>
      <w:r>
        <w:rPr>
          <w:rFonts w:hint="eastAsia" w:ascii="宋体" w:hAnsi="宋体" w:cs="宋体"/>
          <w:color w:val="auto"/>
          <w:kern w:val="0"/>
          <w:sz w:val="24"/>
          <w:szCs w:val="24"/>
          <w:highlight w:val="none"/>
          <w:lang w:val="en-US" w:eastAsia="zh-CN" w:bidi="ar-SA"/>
        </w:rPr>
        <w:t>但不限于</w:t>
      </w:r>
      <w:r>
        <w:rPr>
          <w:rFonts w:hint="eastAsia" w:ascii="宋体" w:hAnsi="宋体" w:eastAsia="宋体" w:cs="宋体"/>
          <w:color w:val="auto"/>
          <w:kern w:val="0"/>
          <w:sz w:val="24"/>
          <w:szCs w:val="24"/>
          <w:highlight w:val="none"/>
          <w:lang w:val="en-US" w:eastAsia="zh-CN" w:bidi="ar-SA"/>
        </w:rPr>
        <w:t>：编校、设计、书号、制作、平台上传、技术服务及税费等。</w:t>
      </w:r>
    </w:p>
    <w:p w14:paraId="2C7DDFB6">
      <w:pPr>
        <w:pStyle w:val="20"/>
        <w:keepNext w:val="0"/>
        <w:keepLines w:val="0"/>
        <w:pageBreakBefore w:val="0"/>
        <w:widowControl w:val="0"/>
        <w:numPr>
          <w:ilvl w:val="0"/>
          <w:numId w:val="0"/>
        </w:numPr>
        <w:kinsoku/>
        <w:wordWrap/>
        <w:overflowPunct/>
        <w:topLinePunct w:val="0"/>
        <w:autoSpaceDE/>
        <w:autoSpaceDN/>
        <w:bidi w:val="0"/>
        <w:spacing w:after="0" w:line="400" w:lineRule="exact"/>
        <w:ind w:firstLine="482" w:firstLineChars="200"/>
        <w:jc w:val="both"/>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55331A37">
      <w:pPr>
        <w:keepNext w:val="0"/>
        <w:keepLines w:val="0"/>
        <w:pageBreakBefore w:val="0"/>
        <w:widowControl/>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供应商提供的出版服务及最终成果需满足以下技术要求：</w:t>
      </w:r>
    </w:p>
    <w:tbl>
      <w:tblPr>
        <w:tblStyle w:val="22"/>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1"/>
        <w:gridCol w:w="7938"/>
      </w:tblGrid>
      <w:tr w14:paraId="0EEDF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07A11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项目</w:t>
            </w:r>
          </w:p>
        </w:tc>
        <w:tc>
          <w:tcPr>
            <w:tcW w:w="7938" w:type="dxa"/>
            <w:shd w:val="clear" w:color="auto" w:fill="auto"/>
            <w:vAlign w:val="center"/>
          </w:tcPr>
          <w:p w14:paraId="6FF0EA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b/>
                <w:bCs/>
                <w:kern w:val="0"/>
                <w:sz w:val="24"/>
                <w:szCs w:val="24"/>
                <w:lang w:val="en-US" w:eastAsia="zh-CN" w:bidi="ar-SA"/>
              </w:rPr>
              <w:t>具体要求</w:t>
            </w:r>
          </w:p>
        </w:tc>
      </w:tr>
      <w:tr w14:paraId="57D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06014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书名</w:t>
            </w:r>
          </w:p>
        </w:tc>
        <w:tc>
          <w:tcPr>
            <w:tcW w:w="7938" w:type="dxa"/>
            <w:shd w:val="clear" w:color="auto" w:fill="auto"/>
            <w:vAlign w:val="center"/>
          </w:tcPr>
          <w:p w14:paraId="062A3A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创新创业基础与实践</w:t>
            </w:r>
          </w:p>
        </w:tc>
      </w:tr>
      <w:tr w14:paraId="2979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04DB96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出版形式</w:t>
            </w:r>
          </w:p>
        </w:tc>
        <w:tc>
          <w:tcPr>
            <w:tcW w:w="7938" w:type="dxa"/>
            <w:shd w:val="clear" w:color="auto" w:fill="auto"/>
            <w:vAlign w:val="center"/>
          </w:tcPr>
          <w:p w14:paraId="699637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以电子图书（数字教材）形式，用中文出版发行作品</w:t>
            </w:r>
          </w:p>
        </w:tc>
      </w:tr>
      <w:tr w14:paraId="1DDC6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7B1339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字数</w:t>
            </w:r>
          </w:p>
        </w:tc>
        <w:tc>
          <w:tcPr>
            <w:tcW w:w="7938" w:type="dxa"/>
            <w:shd w:val="clear" w:color="auto" w:fill="auto"/>
            <w:vAlign w:val="center"/>
          </w:tcPr>
          <w:p w14:paraId="6E6CE0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约300千字</w:t>
            </w:r>
          </w:p>
        </w:tc>
      </w:tr>
      <w:tr w14:paraId="79E72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1B8FEE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开本</w:t>
            </w:r>
          </w:p>
        </w:tc>
        <w:tc>
          <w:tcPr>
            <w:tcW w:w="7938" w:type="dxa"/>
            <w:shd w:val="clear" w:color="auto" w:fill="auto"/>
            <w:vAlign w:val="center"/>
          </w:tcPr>
          <w:p w14:paraId="68BE00F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正16开</w:t>
            </w:r>
          </w:p>
        </w:tc>
      </w:tr>
      <w:tr w14:paraId="46050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1D168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色数</w:t>
            </w:r>
          </w:p>
        </w:tc>
        <w:tc>
          <w:tcPr>
            <w:tcW w:w="7938" w:type="dxa"/>
            <w:shd w:val="clear" w:color="auto" w:fill="auto"/>
            <w:vAlign w:val="center"/>
          </w:tcPr>
          <w:p w14:paraId="29B15CC5">
            <w:pPr>
              <w:pStyle w:val="21"/>
              <w:keepNext w:val="0"/>
              <w:keepLines w:val="0"/>
              <w:pageBreakBefore w:val="0"/>
              <w:kinsoku/>
              <w:wordWrap/>
              <w:overflowPunct/>
              <w:topLinePunct w:val="0"/>
              <w:autoSpaceDE/>
              <w:autoSpaceDN/>
              <w:bidi w:val="0"/>
              <w:adjustRightInd/>
              <w:snapToGrid/>
              <w:spacing w:line="400" w:lineRule="exact"/>
              <w:ind w:left="0" w:leftChars="0" w:firstLine="0" w:firstLineChars="0"/>
              <w:jc w:val="left"/>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内文双色、图片彩色</w:t>
            </w:r>
          </w:p>
        </w:tc>
      </w:tr>
      <w:tr w14:paraId="3E3A6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25AE16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成品尺寸</w:t>
            </w:r>
          </w:p>
        </w:tc>
        <w:tc>
          <w:tcPr>
            <w:tcW w:w="7938" w:type="dxa"/>
            <w:shd w:val="clear" w:color="auto" w:fill="auto"/>
            <w:noWrap/>
            <w:vAlign w:val="center"/>
          </w:tcPr>
          <w:p w14:paraId="332548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lang w:val="en-US" w:eastAsia="zh-CN" w:bidi="ar-SA"/>
              </w:rPr>
              <w:t>185mm*260mm</w:t>
            </w:r>
          </w:p>
        </w:tc>
      </w:tr>
      <w:tr w14:paraId="132B1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1681" w:type="dxa"/>
            <w:shd w:val="clear" w:color="auto" w:fill="auto"/>
            <w:vAlign w:val="center"/>
          </w:tcPr>
          <w:p w14:paraId="2AA60B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核心服务内容</w:t>
            </w:r>
          </w:p>
        </w:tc>
        <w:tc>
          <w:tcPr>
            <w:tcW w:w="7938" w:type="dxa"/>
            <w:shd w:val="clear" w:color="auto" w:fill="auto"/>
            <w:noWrap/>
            <w:vAlign w:val="center"/>
          </w:tcPr>
          <w:p w14:paraId="4BB4F248">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全流程数字出版服务：供应商须提供符合国家规范的服务，必须包含：三审三校（含全媒体资源审校）、专业装帧与版式设计、正规ISBN书号申领、数字内容制作与封装、平台上传，确保内容政治性、科学性、准确性无误。</w:t>
            </w:r>
          </w:p>
          <w:p w14:paraId="2E35995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2、平台部署与维护：供应商须将成品数字教材部署于已通过公安部信息系统安全等级保护第三级（或以上）测评的数字教材平台，并确保采购人在合同期内享有无障碍的完整使用权。</w:t>
            </w:r>
          </w:p>
          <w:p w14:paraId="184E7CFE">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申报专项支持：供应商须在合同期内，为教材申报“十五五”省级或部委级及以上规划教材提供专项服务，包括：至少组织一轮由相关学科专家参与的申报材料集中评审并出具书面评审报告，并提供全流程的政策咨询与申报指导。</w:t>
            </w:r>
          </w:p>
        </w:tc>
      </w:tr>
      <w:tr w14:paraId="379D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81" w:type="dxa"/>
            <w:shd w:val="clear" w:color="auto" w:fill="auto"/>
            <w:vAlign w:val="center"/>
          </w:tcPr>
          <w:p w14:paraId="024242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质量标准</w:t>
            </w:r>
          </w:p>
        </w:tc>
        <w:tc>
          <w:tcPr>
            <w:tcW w:w="7938" w:type="dxa"/>
            <w:shd w:val="clear" w:color="auto" w:fill="auto"/>
            <w:noWrap/>
            <w:vAlign w:val="center"/>
          </w:tcPr>
          <w:p w14:paraId="027CE8F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1、编校质量：严格执行“三审三校”制度，确保内容政治导向正确、专业严谨，文字差错率低于万分之一。</w:t>
            </w:r>
          </w:p>
          <w:p w14:paraId="0B7A73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2、设计质量：封面、版式设计需经采购人书面确认。最终成品须与确认样稿一致。</w:t>
            </w:r>
          </w:p>
          <w:p w14:paraId="5780E7D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3、平台运行质量：数字教材在指定平台运行稳定，各类资源加载正常，用户体验流畅。</w:t>
            </w:r>
          </w:p>
        </w:tc>
      </w:tr>
      <w:tr w14:paraId="7CDE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31" w:hRule="atLeast"/>
          <w:jc w:val="center"/>
        </w:trPr>
        <w:tc>
          <w:tcPr>
            <w:tcW w:w="1681" w:type="dxa"/>
            <w:shd w:val="clear" w:color="auto" w:fill="auto"/>
            <w:vAlign w:val="center"/>
          </w:tcPr>
          <w:p w14:paraId="2D870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其他要求</w:t>
            </w:r>
          </w:p>
        </w:tc>
        <w:tc>
          <w:tcPr>
            <w:tcW w:w="7938" w:type="dxa"/>
            <w:shd w:val="clear" w:color="auto" w:fill="auto"/>
            <w:noWrap/>
            <w:vAlign w:val="center"/>
          </w:tcPr>
          <w:p w14:paraId="69A8F7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1、供应商所使用的数字教材平台须通过公安部信息系统安全等级保护三级（及以上）测评。</w:t>
            </w:r>
          </w:p>
          <w:p w14:paraId="58D181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供应商应具有丰富的教材建设经验，须熟悉相关省级、部委级（或行业）规划教材的申报流程及规则。为确保后续申报工作的可行性，供应商须在响应文件中提供近三年（2023年1月1日起至报名截止时间止）成功入选省级及以上规划教材的案例证明材料。</w:t>
            </w:r>
            <w:r>
              <w:rPr>
                <w:rFonts w:hint="eastAsia" w:asciiTheme="minorEastAsia" w:hAnsiTheme="minorEastAsia" w:eastAsiaTheme="minorEastAsia" w:cstheme="minorEastAsia"/>
                <w:b/>
                <w:bCs/>
                <w:kern w:val="0"/>
                <w:sz w:val="24"/>
                <w:szCs w:val="24"/>
                <w:lang w:val="en-US" w:eastAsia="zh-CN" w:bidi="ar-SA"/>
              </w:rPr>
              <w:t>（需提供相关证明材料）</w:t>
            </w:r>
          </w:p>
          <w:p w14:paraId="2FFFCCA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3、服务团队：拟派本项目的责任编辑须具有副编审及以上职称（或同等专业水平）。</w:t>
            </w:r>
          </w:p>
          <w:p w14:paraId="6F6BA8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b/>
                <w:bCs/>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4、申报支持：供应商须出具《申报服务承诺函》，承诺配备具备丰富规划教材申报经验的团队，为采购人提供政策解读、材料撰写指导等全过程支持。承诺函中应明确服务团队负责人资历、服务流程和保障措施。</w:t>
            </w:r>
            <w:r>
              <w:rPr>
                <w:rFonts w:hint="eastAsia" w:asciiTheme="minorEastAsia" w:hAnsiTheme="minorEastAsia" w:eastAsiaTheme="minorEastAsia" w:cstheme="minorEastAsia"/>
                <w:b/>
                <w:bCs/>
                <w:kern w:val="0"/>
                <w:sz w:val="24"/>
                <w:szCs w:val="24"/>
                <w:lang w:val="en-US" w:eastAsia="zh-CN" w:bidi="ar-SA"/>
              </w:rPr>
              <w:t>（承诺函格式自拟）</w:t>
            </w:r>
          </w:p>
          <w:p w14:paraId="3686B1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bottom"/>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5、平台保障：最终交付物须包含数字教材平台使用权，平台需支持全流程数据采集与学情分析等基本教学管理功能。</w:t>
            </w:r>
          </w:p>
        </w:tc>
      </w:tr>
    </w:tbl>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三、商务要求</w:t>
      </w:r>
      <w:r>
        <w:rPr>
          <w:rFonts w:hint="eastAsia" w:ascii="宋体" w:hAnsi="宋体" w:eastAsia="宋体" w:cs="宋体"/>
          <w:b/>
          <w:color w:val="auto"/>
          <w:sz w:val="24"/>
          <w:szCs w:val="24"/>
          <w:highlight w:val="none"/>
        </w:rPr>
        <w:t>（下述所有要求均为不允许偏离的实质性要求，若负偏离则按无效报价处理。）</w:t>
      </w:r>
    </w:p>
    <w:p w14:paraId="03D208BA">
      <w:pPr>
        <w:pStyle w:val="8"/>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lang w:val="en-US" w:eastAsia="zh-CN"/>
        </w:rPr>
        <w:t>交付</w:t>
      </w:r>
      <w:r>
        <w:rPr>
          <w:rFonts w:hint="eastAsia" w:ascii="宋体" w:hAnsi="宋体" w:eastAsia="宋体" w:cs="宋体"/>
          <w:b/>
          <w:bCs/>
          <w:color w:val="auto"/>
          <w:kern w:val="0"/>
          <w:sz w:val="24"/>
          <w:szCs w:val="24"/>
          <w:highlight w:val="none"/>
        </w:rPr>
        <w:t>地点：</w:t>
      </w:r>
      <w:r>
        <w:rPr>
          <w:rFonts w:hint="eastAsia" w:ascii="宋体" w:hAnsi="宋体" w:eastAsia="宋体" w:cs="宋体"/>
          <w:kern w:val="0"/>
          <w:sz w:val="24"/>
          <w:szCs w:val="24"/>
          <w:lang w:val="en-US" w:eastAsia="zh-CN" w:bidi="ar-SA"/>
        </w:rPr>
        <w:t>线上交付及指定数字平台上传</w:t>
      </w:r>
      <w:r>
        <w:rPr>
          <w:rFonts w:hint="eastAsia" w:ascii="宋体" w:hAnsi="宋体" w:eastAsia="宋体" w:cs="宋体"/>
          <w:b w:val="0"/>
          <w:bCs w:val="0"/>
          <w:color w:val="auto"/>
          <w:kern w:val="0"/>
          <w:sz w:val="24"/>
          <w:szCs w:val="24"/>
          <w:highlight w:val="none"/>
        </w:rPr>
        <w:t>。</w:t>
      </w:r>
    </w:p>
    <w:p w14:paraId="6AF46AF8">
      <w:pPr>
        <w:pStyle w:val="8"/>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cs="宋体"/>
          <w:b/>
          <w:bCs/>
          <w:color w:val="auto"/>
          <w:kern w:val="0"/>
          <w:sz w:val="24"/>
          <w:szCs w:val="24"/>
          <w:highlight w:val="none"/>
          <w:lang w:eastAsia="zh-CN"/>
        </w:rPr>
        <w:t>、交付时间</w:t>
      </w:r>
      <w:r>
        <w:rPr>
          <w:rFonts w:hint="eastAsia" w:ascii="宋体" w:hAnsi="宋体" w:eastAsia="宋体" w:cs="宋体"/>
          <w:b/>
          <w:bCs/>
          <w:color w:val="auto"/>
          <w:kern w:val="0"/>
          <w:sz w:val="24"/>
          <w:szCs w:val="24"/>
          <w:highlight w:val="none"/>
        </w:rPr>
        <w:t>：</w:t>
      </w:r>
      <w:r>
        <w:rPr>
          <w:rFonts w:hint="eastAsia" w:ascii="宋体" w:hAnsi="宋体" w:eastAsia="宋体" w:cs="宋体"/>
          <w:b w:val="0"/>
          <w:bCs w:val="0"/>
          <w:color w:val="auto"/>
          <w:kern w:val="0"/>
          <w:sz w:val="24"/>
          <w:szCs w:val="24"/>
          <w:highlight w:val="none"/>
        </w:rPr>
        <w:t>自签订合同之日起至2026年</w:t>
      </w:r>
      <w:r>
        <w:rPr>
          <w:rFonts w:hint="eastAsia" w:ascii="宋体" w:hAnsi="宋体" w:cs="宋体"/>
          <w:b w:val="0"/>
          <w:bCs w:val="0"/>
          <w:color w:val="auto"/>
          <w:kern w:val="0"/>
          <w:sz w:val="24"/>
          <w:szCs w:val="24"/>
          <w:highlight w:val="none"/>
          <w:lang w:val="en-US" w:eastAsia="zh-CN"/>
        </w:rPr>
        <w:t>10</w:t>
      </w:r>
      <w:r>
        <w:rPr>
          <w:rFonts w:hint="eastAsia" w:ascii="宋体" w:hAnsi="宋体" w:eastAsia="宋体" w:cs="宋体"/>
          <w:b w:val="0"/>
          <w:bCs w:val="0"/>
          <w:color w:val="auto"/>
          <w:kern w:val="0"/>
          <w:sz w:val="24"/>
          <w:szCs w:val="24"/>
          <w:highlight w:val="none"/>
        </w:rPr>
        <w:t>月1日前交付完成</w:t>
      </w:r>
      <w:r>
        <w:rPr>
          <w:rFonts w:hint="eastAsia" w:ascii="宋体" w:hAnsi="宋体"/>
          <w:b w:val="0"/>
          <w:bCs w:val="0"/>
          <w:color w:val="auto"/>
          <w:kern w:val="0"/>
          <w:sz w:val="24"/>
          <w:szCs w:val="24"/>
          <w:highlight w:val="none"/>
          <w:lang w:val="en-US" w:eastAsia="zh-CN"/>
        </w:rPr>
        <w:t>（交付指完成所有出版流程，数字教材在指定平台正式上线可供使用）</w:t>
      </w:r>
      <w:r>
        <w:rPr>
          <w:rFonts w:hint="eastAsia" w:ascii="宋体" w:hAnsi="宋体" w:eastAsia="宋体" w:cs="宋体"/>
          <w:b w:val="0"/>
          <w:bCs w:val="0"/>
          <w:color w:val="auto"/>
          <w:kern w:val="0"/>
          <w:sz w:val="24"/>
          <w:szCs w:val="24"/>
          <w:highlight w:val="none"/>
          <w:lang w:val="en-US" w:eastAsia="zh-CN"/>
        </w:rPr>
        <w:t>。</w:t>
      </w:r>
    </w:p>
    <w:p w14:paraId="56FD805B">
      <w:pPr>
        <w:pStyle w:val="8"/>
        <w:keepNext w:val="0"/>
        <w:keepLines w:val="0"/>
        <w:pageBreakBefore w:val="0"/>
        <w:widowControl w:val="0"/>
        <w:kinsoku/>
        <w:wordWrap/>
        <w:overflowPunct/>
        <w:topLinePunct w:val="0"/>
        <w:autoSpaceDE/>
        <w:autoSpaceDN/>
        <w:bidi w:val="0"/>
        <w:adjustRightInd/>
        <w:snapToGrid/>
        <w:spacing w:after="0" w:line="400" w:lineRule="exact"/>
        <w:ind w:left="0" w:leftChars="0"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交付条件：</w:t>
      </w:r>
      <w:r>
        <w:rPr>
          <w:rFonts w:hint="eastAsia" w:ascii="宋体" w:hAnsi="宋体" w:cs="宋体"/>
          <w:b w:val="0"/>
          <w:bCs w:val="0"/>
          <w:color w:val="auto"/>
          <w:kern w:val="0"/>
          <w:sz w:val="24"/>
          <w:szCs w:val="24"/>
          <w:highlight w:val="none"/>
          <w:lang w:val="en-US" w:eastAsia="zh-CN"/>
        </w:rPr>
        <w:t>经采购人</w:t>
      </w:r>
      <w:r>
        <w:rPr>
          <w:rFonts w:hint="eastAsia" w:ascii="宋体" w:hAnsi="宋体" w:eastAsia="宋体" w:cs="宋体"/>
          <w:b w:val="0"/>
          <w:bCs w:val="0"/>
          <w:color w:val="auto"/>
          <w:kern w:val="0"/>
          <w:sz w:val="24"/>
          <w:szCs w:val="24"/>
          <w:highlight w:val="none"/>
        </w:rPr>
        <w:t>验收合格</w:t>
      </w:r>
      <w:r>
        <w:rPr>
          <w:rFonts w:hint="eastAsia" w:ascii="宋体" w:hAnsi="宋体" w:cs="宋体"/>
          <w:b w:val="0"/>
          <w:bCs w:val="0"/>
          <w:color w:val="auto"/>
          <w:kern w:val="0"/>
          <w:sz w:val="24"/>
          <w:szCs w:val="24"/>
          <w:highlight w:val="none"/>
          <w:lang w:val="en-US" w:eastAsia="zh-CN"/>
        </w:rPr>
        <w:t>并</w:t>
      </w:r>
      <w:r>
        <w:rPr>
          <w:rFonts w:hint="eastAsia" w:ascii="宋体" w:hAnsi="宋体" w:eastAsia="宋体" w:cs="宋体"/>
          <w:b w:val="0"/>
          <w:bCs w:val="0"/>
          <w:color w:val="auto"/>
          <w:kern w:val="0"/>
          <w:sz w:val="24"/>
          <w:szCs w:val="24"/>
          <w:highlight w:val="none"/>
        </w:rPr>
        <w:t>交付使用。</w:t>
      </w:r>
    </w:p>
    <w:p w14:paraId="1A6354C5">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4、是否邀请供应商验收：</w:t>
      </w:r>
      <w:r>
        <w:rPr>
          <w:rFonts w:hint="eastAsia" w:ascii="宋体" w:hAnsi="宋体" w:cs="宋体"/>
          <w:b w:val="0"/>
          <w:bCs w:val="0"/>
          <w:color w:val="auto"/>
          <w:sz w:val="24"/>
          <w:szCs w:val="24"/>
          <w:highlight w:val="none"/>
          <w:lang w:val="en-US" w:eastAsia="zh-CN"/>
        </w:rPr>
        <w:t>不邀请。</w:t>
      </w:r>
    </w:p>
    <w:p w14:paraId="383A6C5D">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验收方式</w:t>
      </w:r>
      <w:r>
        <w:rPr>
          <w:rFonts w:hint="eastAsia" w:ascii="宋体" w:hAnsi="宋体" w:eastAsia="宋体" w:cs="宋体"/>
          <w:b/>
          <w:bCs/>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lang w:val="en-US" w:eastAsia="zh-CN" w:bidi="ar-SA"/>
        </w:rPr>
        <w:t>按</w:t>
      </w:r>
      <w:r>
        <w:rPr>
          <w:rFonts w:hint="eastAsia" w:ascii="宋体" w:hAnsi="宋体" w:cs="宋体"/>
          <w:b w:val="0"/>
          <w:bCs w:val="0"/>
          <w:color w:val="auto"/>
          <w:kern w:val="0"/>
          <w:sz w:val="24"/>
          <w:szCs w:val="24"/>
          <w:highlight w:val="none"/>
          <w:lang w:val="en-US" w:eastAsia="zh-CN" w:bidi="ar-SA"/>
        </w:rPr>
        <w:t>网上</w:t>
      </w:r>
      <w:r>
        <w:rPr>
          <w:rFonts w:hint="eastAsia" w:ascii="宋体" w:hAnsi="宋体" w:eastAsia="宋体" w:cs="宋体"/>
          <w:b w:val="0"/>
          <w:bCs w:val="0"/>
          <w:color w:val="auto"/>
          <w:kern w:val="0"/>
          <w:sz w:val="24"/>
          <w:szCs w:val="24"/>
          <w:highlight w:val="none"/>
          <w:lang w:val="en-US" w:eastAsia="zh-CN" w:bidi="ar-SA"/>
        </w:rPr>
        <w:t>竞价文件、</w:t>
      </w:r>
      <w:r>
        <w:rPr>
          <w:rFonts w:hint="eastAsia" w:ascii="宋体" w:hAnsi="宋体" w:cs="宋体"/>
          <w:b w:val="0"/>
          <w:bCs w:val="0"/>
          <w:color w:val="auto"/>
          <w:kern w:val="0"/>
          <w:sz w:val="24"/>
          <w:szCs w:val="24"/>
          <w:highlight w:val="none"/>
          <w:lang w:val="en-US" w:eastAsia="zh-CN" w:bidi="ar-SA"/>
        </w:rPr>
        <w:t>成交供应商</w:t>
      </w:r>
      <w:r>
        <w:rPr>
          <w:rFonts w:hint="eastAsia" w:ascii="宋体" w:hAnsi="宋体" w:eastAsia="宋体" w:cs="宋体"/>
          <w:b w:val="0"/>
          <w:bCs w:val="0"/>
          <w:color w:val="auto"/>
          <w:kern w:val="0"/>
          <w:sz w:val="24"/>
          <w:szCs w:val="24"/>
          <w:highlight w:val="none"/>
          <w:lang w:val="en-US" w:eastAsia="zh-CN" w:bidi="ar-SA"/>
        </w:rPr>
        <w:t>响应文件以及国家和行业验收规范要求及合同中的相关条款进行验收</w:t>
      </w:r>
      <w:r>
        <w:rPr>
          <w:rFonts w:hint="eastAsia" w:ascii="宋体" w:hAnsi="宋体" w:cs="宋体"/>
          <w:b w:val="0"/>
          <w:bCs w:val="0"/>
          <w:color w:val="auto"/>
          <w:kern w:val="0"/>
          <w:sz w:val="24"/>
          <w:szCs w:val="24"/>
          <w:highlight w:val="none"/>
          <w:lang w:val="en-US" w:eastAsia="zh-CN" w:bidi="ar-SA"/>
        </w:rPr>
        <w:t>。</w:t>
      </w:r>
    </w:p>
    <w:p w14:paraId="2FC15694">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支付方式：</w:t>
      </w:r>
      <w:r>
        <w:rPr>
          <w:rFonts w:hint="eastAsia" w:ascii="宋体" w:hAnsi="宋体" w:cs="宋体"/>
          <w:b w:val="0"/>
          <w:bCs w:val="0"/>
          <w:color w:val="auto"/>
          <w:sz w:val="24"/>
          <w:szCs w:val="24"/>
          <w:highlight w:val="none"/>
          <w:lang w:val="en-US" w:eastAsia="zh-CN"/>
        </w:rPr>
        <w:t>①合同签订后，成交供应商出具等额的正式税务发票起10个工作日内支付合同总金额的90.00%；②全部服务举办完毕并经验收合格后，成交供应商出具等额的正式税务发票起10个工作日内支付剩余合同总金额的10.00%。</w:t>
      </w:r>
    </w:p>
    <w:p w14:paraId="18929153">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cs="宋体"/>
          <w:b w:val="0"/>
          <w:bCs w:val="0"/>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7、履约保证金：</w:t>
      </w:r>
      <w:bookmarkEnd w:id="3"/>
      <w:bookmarkEnd w:id="4"/>
      <w:bookmarkEnd w:id="5"/>
      <w:bookmarkEnd w:id="6"/>
      <w:r>
        <w:rPr>
          <w:rFonts w:hint="eastAsia" w:cs="宋体"/>
          <w:b w:val="0"/>
          <w:bCs w:val="0"/>
          <w:color w:val="auto"/>
          <w:kern w:val="0"/>
          <w:sz w:val="24"/>
          <w:szCs w:val="24"/>
          <w:highlight w:val="none"/>
          <w:lang w:val="en-US" w:eastAsia="zh-CN" w:bidi="ar-SA"/>
        </w:rPr>
        <w:t>不缴纳。</w:t>
      </w:r>
    </w:p>
    <w:p w14:paraId="3BFA18B5">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w:t>
      </w:r>
      <w:r>
        <w:rPr>
          <w:rFonts w:hint="eastAsia" w:ascii="宋体" w:hAnsi="宋体" w:eastAsia="宋体" w:cs="宋体"/>
          <w:kern w:val="0"/>
          <w:sz w:val="24"/>
          <w:szCs w:val="24"/>
          <w:lang w:val="en-US" w:eastAsia="zh-CN" w:bidi="ar-SA"/>
        </w:rPr>
        <w:t>服务与交付：</w:t>
      </w:r>
    </w:p>
    <w:p w14:paraId="46067089">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8.1</w:t>
      </w:r>
      <w:r>
        <w:rPr>
          <w:rFonts w:hint="eastAsia" w:ascii="宋体" w:hAnsi="宋体" w:eastAsia="宋体" w:cs="宋体"/>
          <w:b w:val="0"/>
          <w:bCs w:val="0"/>
          <w:color w:val="auto"/>
          <w:sz w:val="24"/>
          <w:szCs w:val="24"/>
          <w:highlight w:val="none"/>
        </w:rPr>
        <w:t xml:space="preserve">交付成果为最终审定合格的数字电子图书文件及在指定平台的成功上线状态。 </w:t>
      </w:r>
    </w:p>
    <w:p w14:paraId="65A171B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8.2</w:t>
      </w:r>
      <w:r>
        <w:rPr>
          <w:rFonts w:hint="eastAsia" w:ascii="宋体" w:hAnsi="宋体" w:eastAsia="宋体" w:cs="宋体"/>
          <w:b w:val="0"/>
          <w:bCs w:val="0"/>
          <w:color w:val="auto"/>
          <w:sz w:val="24"/>
          <w:szCs w:val="24"/>
          <w:highlight w:val="none"/>
        </w:rPr>
        <w:t>供应商在服务过程中需提供所有必要的专业技术支持。</w:t>
      </w:r>
    </w:p>
    <w:p w14:paraId="06DEF4EA">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cs="宋体"/>
          <w:b/>
          <w:bCs/>
          <w:kern w:val="2"/>
          <w:sz w:val="24"/>
          <w:szCs w:val="24"/>
          <w:lang w:val="en-US" w:eastAsia="zh-CN" w:bidi="ar-SA"/>
        </w:rPr>
      </w:pPr>
      <w:r>
        <w:rPr>
          <w:rFonts w:hint="eastAsia" w:cs="宋体"/>
          <w:b/>
          <w:bCs/>
          <w:kern w:val="2"/>
          <w:sz w:val="24"/>
          <w:szCs w:val="24"/>
          <w:lang w:val="en-US" w:eastAsia="zh-CN" w:bidi="ar-SA"/>
        </w:rPr>
        <w:t>9、验收要求：</w:t>
      </w:r>
    </w:p>
    <w:p w14:paraId="3563103F">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9.1</w:t>
      </w:r>
      <w:r>
        <w:rPr>
          <w:rFonts w:hint="eastAsia" w:ascii="宋体" w:hAnsi="宋体"/>
          <w:color w:val="000000" w:themeColor="text1"/>
          <w:sz w:val="24"/>
          <w:lang w:eastAsia="zh-CN"/>
          <w14:textFill>
            <w14:solidFill>
              <w14:schemeClr w14:val="tx1"/>
            </w14:solidFill>
          </w14:textFill>
        </w:rPr>
        <w:t>数字出版质量验收</w:t>
      </w:r>
    </w:p>
    <w:p w14:paraId="133F8D92">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eastAsia="zh-CN"/>
          <w14:textFill>
            <w14:solidFill>
              <w14:schemeClr w14:val="tx1"/>
            </w14:solidFill>
          </w14:textFill>
        </w:rPr>
        <w:t>依据国家出版管理规定，对教材内容进行编校质量抽检。内容应无政治性、科学性错误，文字差错率符合国家合格标准。验收教材的字数、开本、色数是否符合合同约定；封面设计及版式排版是否经采购人签字确认。</w:t>
      </w:r>
    </w:p>
    <w:p w14:paraId="7F217709">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9.2</w:t>
      </w:r>
      <w:r>
        <w:rPr>
          <w:rFonts w:hint="eastAsia" w:ascii="宋体" w:hAnsi="宋体"/>
          <w:color w:val="000000" w:themeColor="text1"/>
          <w:sz w:val="24"/>
          <w:lang w:eastAsia="zh-CN"/>
          <w14:textFill>
            <w14:solidFill>
              <w14:schemeClr w14:val="tx1"/>
            </w14:solidFill>
          </w14:textFill>
        </w:rPr>
        <w:t>数字电子图书须在</w:t>
      </w:r>
      <w:r>
        <w:rPr>
          <w:rFonts w:hint="eastAsia" w:ascii="宋体" w:hAnsi="宋体"/>
          <w:color w:val="000000" w:themeColor="text1"/>
          <w:sz w:val="24"/>
          <w:lang w:val="en-US" w:eastAsia="zh-CN"/>
          <w14:textFill>
            <w14:solidFill>
              <w14:schemeClr w14:val="tx1"/>
            </w14:solidFill>
          </w14:textFill>
        </w:rPr>
        <w:t>数字教材</w:t>
      </w:r>
      <w:r>
        <w:rPr>
          <w:rFonts w:hint="eastAsia" w:ascii="宋体" w:hAnsi="宋体"/>
          <w:color w:val="000000" w:themeColor="text1"/>
          <w:sz w:val="24"/>
          <w:lang w:eastAsia="zh-CN"/>
          <w14:textFill>
            <w14:solidFill>
              <w14:schemeClr w14:val="tx1"/>
            </w14:solidFill>
          </w14:textFill>
        </w:rPr>
        <w:t>平台成功上线。验收时需现场演示，确保账号登录正常、图书资源（含文字、图片、音视频等）加载流畅、无坏链错链，且支持跨终端（PC/移动端）阅读。</w:t>
      </w:r>
    </w:p>
    <w:p w14:paraId="056AB6F8">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9.3</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lang w:eastAsia="zh-CN"/>
          <w14:textFill>
            <w14:solidFill>
              <w14:schemeClr w14:val="tx1"/>
            </w14:solidFill>
          </w14:textFill>
        </w:rPr>
        <w:t>必须在合同</w:t>
      </w:r>
      <w:r>
        <w:rPr>
          <w:rFonts w:hint="eastAsia" w:ascii="宋体" w:hAnsi="宋体"/>
          <w:color w:val="000000" w:themeColor="text1"/>
          <w:sz w:val="24"/>
          <w:lang w:val="en-US" w:eastAsia="zh-CN"/>
          <w14:textFill>
            <w14:solidFill>
              <w14:schemeClr w14:val="tx1"/>
            </w14:solidFill>
          </w14:textFill>
        </w:rPr>
        <w:t>期内</w:t>
      </w:r>
      <w:r>
        <w:rPr>
          <w:rFonts w:hint="eastAsia" w:ascii="宋体" w:hAnsi="宋体"/>
          <w:color w:val="000000" w:themeColor="text1"/>
          <w:sz w:val="24"/>
          <w:lang w:eastAsia="zh-CN"/>
          <w14:textFill>
            <w14:solidFill>
              <w14:schemeClr w14:val="tx1"/>
            </w14:solidFill>
          </w14:textFill>
        </w:rPr>
        <w:t>提供不少于一轮的专家打磨全过程记录，包括但不限于：专家评审意见表、审读报告、修改建议汇总等，方可视为该项服务验收通过。</w:t>
      </w:r>
    </w:p>
    <w:p w14:paraId="6A2F92D5">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10、</w:t>
      </w:r>
      <w:r>
        <w:rPr>
          <w:rFonts w:hint="eastAsia" w:ascii="宋体" w:hAnsi="宋体" w:eastAsia="宋体" w:cs="宋体"/>
          <w:b/>
          <w:bCs/>
          <w:kern w:val="2"/>
          <w:sz w:val="24"/>
          <w:szCs w:val="24"/>
          <w:lang w:val="en-US" w:eastAsia="zh-CN" w:bidi="ar-SA"/>
        </w:rPr>
        <w:t>售后服务：</w:t>
      </w:r>
    </w:p>
    <w:p w14:paraId="7F8CEBA9">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10.1本项目质量保证期为3年（自验收合格之日起算），质保期内，</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应保证数字教材在平台的稳定访问。如因</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制作原因导致的内容错漏（如文字、图片、排版错误）或平台访问故障，</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kern w:val="0"/>
          <w:sz w:val="24"/>
          <w:szCs w:val="24"/>
          <w:lang w:val="en-US" w:eastAsia="zh-CN" w:bidi="ar-SA"/>
        </w:rPr>
        <w:t>应免费负责修正。</w:t>
      </w:r>
    </w:p>
    <w:p w14:paraId="2F47D2B2">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cs="宋体"/>
          <w:b w:val="0"/>
          <w:bCs w:val="0"/>
          <w:color w:val="auto"/>
          <w:sz w:val="24"/>
          <w:szCs w:val="24"/>
          <w:highlight w:val="none"/>
          <w:lang w:val="en-US" w:eastAsia="zh-CN"/>
        </w:rPr>
        <w:t>10.2成交供应商</w:t>
      </w:r>
      <w:r>
        <w:rPr>
          <w:rFonts w:hint="eastAsia" w:ascii="宋体" w:hAnsi="宋体" w:eastAsia="宋体" w:cs="宋体"/>
          <w:kern w:val="0"/>
          <w:sz w:val="24"/>
          <w:szCs w:val="24"/>
          <w:lang w:val="en-US" w:eastAsia="zh-CN" w:bidi="ar-SA"/>
        </w:rPr>
        <w:t xml:space="preserve">在质保期内接到内容错误或平台故障通知后24小时内响应，并在商定时限内完成修正或故障排除。 </w:t>
      </w:r>
    </w:p>
    <w:p w14:paraId="0B4527D0">
      <w:pPr>
        <w:keepNext w:val="0"/>
        <w:keepLines w:val="0"/>
        <w:pageBreakBefore w:val="0"/>
        <w:widowControl w:val="0"/>
        <w:tabs>
          <w:tab w:val="left" w:pos="900"/>
          <w:tab w:val="left" w:pos="1100"/>
        </w:tabs>
        <w:kinsoku/>
        <w:wordWrap/>
        <w:overflowPunct/>
        <w:topLinePunct w:val="0"/>
        <w:autoSpaceDE/>
        <w:autoSpaceDN/>
        <w:bidi w:val="0"/>
        <w:adjustRightInd/>
        <w:snapToGrid/>
        <w:spacing w:line="400" w:lineRule="exact"/>
        <w:ind w:firstLine="480" w:firstLineChars="200"/>
        <w:jc w:val="left"/>
        <w:textAlignment w:val="baseline"/>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10.3质保期外重复出现质保期内出现的故障属免费保修范围。</w:t>
      </w:r>
    </w:p>
    <w:p w14:paraId="705BBC69">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11、检验与测试：</w:t>
      </w:r>
    </w:p>
    <w:p w14:paraId="109E2013">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80" w:firstLineChars="200"/>
        <w:rPr>
          <w:rFonts w:hint="eastAsia" w:ascii="宋体" w:hAnsi="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采购人（福州职业技术学院 ）有权在服务过程中对各关键环节的成果（如封面设计初稿、三校稿件、数字平台测试版）进行审阅和测试，并提出修改意见。</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需配合修改直至符合采购人要求。</w:t>
      </w:r>
    </w:p>
    <w:p w14:paraId="04C247C2">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cs="宋体"/>
          <w:b/>
          <w:bCs/>
          <w:kern w:val="2"/>
          <w:sz w:val="24"/>
          <w:szCs w:val="24"/>
          <w:lang w:val="en-US" w:eastAsia="zh-CN" w:bidi="ar-SA"/>
        </w:rPr>
        <w:t>12、</w:t>
      </w:r>
      <w:r>
        <w:rPr>
          <w:rFonts w:hint="eastAsia" w:ascii="宋体" w:hAnsi="宋体" w:eastAsia="宋体" w:cs="宋体"/>
          <w:b/>
          <w:bCs/>
          <w:kern w:val="2"/>
          <w:sz w:val="24"/>
          <w:szCs w:val="24"/>
          <w:lang w:val="en-US" w:eastAsia="zh-CN" w:bidi="ar-SA"/>
        </w:rPr>
        <w:t>知识产权：</w:t>
      </w:r>
    </w:p>
    <w:p w14:paraId="14495EFE">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12.1</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须保障采购人（及教材作者）在使用该服务成果或其任何一部分时不受到第三方关于侵犯专利权、商标权或工业设计权等知识产权的指控，如果任何第三方提出侵权指控与采购人无关，</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 xml:space="preserve">须与第三方交涉并承担可能发生的责任与一切费用。 </w:t>
      </w:r>
    </w:p>
    <w:p w14:paraId="6203C922">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12.2</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为执行本项目而提供的技术资料、软件，采购人有权进行使用，</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 xml:space="preserve">不得主张任何费用。 </w:t>
      </w:r>
    </w:p>
    <w:p w14:paraId="501514FA">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12.3</w:t>
      </w:r>
      <w:r>
        <w:rPr>
          <w:rFonts w:hint="eastAsia" w:ascii="宋体" w:hAnsi="宋体"/>
          <w:color w:val="000000" w:themeColor="text1"/>
          <w:sz w:val="24"/>
          <w14:textFill>
            <w14:solidFill>
              <w14:schemeClr w14:val="tx1"/>
            </w14:solidFill>
          </w14:textFill>
        </w:rPr>
        <w:t>采购人（福州职业技术学院）及教材作者依法享有教材内容的著作权。</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（出版社）仅根据合同约定获得本项目约定形式（数字电子图书）的出版权。</w:t>
      </w:r>
    </w:p>
    <w:p w14:paraId="7FB10889">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13、产权与风险转移：</w:t>
      </w:r>
    </w:p>
    <w:p w14:paraId="56DA1044">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13.1</w:t>
      </w:r>
      <w:r>
        <w:rPr>
          <w:rFonts w:hint="eastAsia" w:ascii="宋体" w:hAnsi="宋体"/>
          <w:color w:val="000000" w:themeColor="text1"/>
          <w:sz w:val="24"/>
          <w14:textFill>
            <w14:solidFill>
              <w14:schemeClr w14:val="tx1"/>
            </w14:solidFill>
          </w14:textFill>
        </w:rPr>
        <w:t>在数字教材最终验收合格并交付使用前，所有服务过程中的风险（如数据丢失、制作延误、书号未能获批等）均由</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 xml:space="preserve">承担。 </w:t>
      </w:r>
    </w:p>
    <w:p w14:paraId="607E986D">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13.2</w:t>
      </w:r>
      <w:r>
        <w:rPr>
          <w:rFonts w:hint="eastAsia" w:ascii="宋体" w:hAnsi="宋体"/>
          <w:color w:val="000000" w:themeColor="text1"/>
          <w:sz w:val="24"/>
          <w14:textFill>
            <w14:solidFill>
              <w14:schemeClr w14:val="tx1"/>
            </w14:solidFill>
          </w14:textFill>
        </w:rPr>
        <w:t>数字教材的产权（指约定平台的使用权）以及损坏、灭失的风险在服务成果通过验收并交付使用时起由</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转移至采购人。</w:t>
      </w:r>
    </w:p>
    <w:p w14:paraId="4270D1BC">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14、保密：</w:t>
      </w:r>
    </w:p>
    <w:p w14:paraId="0C7F70C1">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14.1</w:t>
      </w:r>
      <w:r>
        <w:rPr>
          <w:rFonts w:hint="eastAsia" w:ascii="宋体" w:hAnsi="宋体"/>
          <w:color w:val="000000" w:themeColor="text1"/>
          <w:sz w:val="24"/>
          <w14:textFill>
            <w14:solidFill>
              <w14:schemeClr w14:val="tx1"/>
            </w14:solidFill>
          </w14:textFill>
        </w:rPr>
        <w:t>未经采购人事先书面同意，</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不得将由采购人为本项目提供的条文、规格、计划、资料（尤其是教材文稿）提供给与本项目无关的任何第三方，不得将其用于履行本项目之外的其它用途。</w:t>
      </w:r>
    </w:p>
    <w:p w14:paraId="422BC77B">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14.2</w:t>
      </w:r>
      <w:r>
        <w:rPr>
          <w:rFonts w:hint="eastAsia" w:ascii="宋体" w:hAnsi="宋体"/>
          <w:color w:val="000000" w:themeColor="text1"/>
          <w:sz w:val="24"/>
          <w14:textFill>
            <w14:solidFill>
              <w14:schemeClr w14:val="tx1"/>
            </w14:solidFill>
          </w14:textFill>
        </w:rPr>
        <w:t xml:space="preserve"> 除了项目本身之外，上款所列举的任何物件均是采购人的财产。如果采购人有要求，</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 xml:space="preserve">在收到采购人的要求后10日内应将这些物件及全部复制件还给采购人，不得留存任何备份。 </w:t>
      </w:r>
    </w:p>
    <w:p w14:paraId="7E77D29F">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ascii="黑体" w:hAnsi="黑体" w:eastAsia="黑体" w:cs="黑体"/>
          <w:b/>
          <w:color w:val="000000" w:themeColor="text1"/>
          <w:sz w:val="28"/>
          <w:szCs w:val="28"/>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14.3</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违反本保密条款的，应支付项目总金额1%的违约金，并赔偿由此给采购人造成的任何损失。本条款在本项目履行期间至履行结束后均有效。</w:t>
      </w:r>
    </w:p>
    <w:p w14:paraId="049DA6F2">
      <w:pPr>
        <w:pStyle w:val="3"/>
        <w:keepNext w:val="0"/>
        <w:keepLines w:val="0"/>
        <w:pageBreakBefore w:val="0"/>
        <w:widowControl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15、违约责任：</w:t>
      </w:r>
    </w:p>
    <w:p w14:paraId="2418897F">
      <w:pPr>
        <w:keepNext w:val="0"/>
        <w:keepLines w:val="0"/>
        <w:pageBreakBefore w:val="0"/>
        <w:widowControl w:val="0"/>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15.1供应商</w:t>
      </w:r>
      <w:r>
        <w:rPr>
          <w:rFonts w:hint="eastAsia" w:ascii="宋体" w:hAnsi="宋体"/>
          <w:color w:val="000000" w:themeColor="text1"/>
          <w:sz w:val="24"/>
          <w14:textFill>
            <w14:solidFill>
              <w14:schemeClr w14:val="tx1"/>
            </w14:solidFill>
          </w14:textFill>
        </w:rPr>
        <w:t>必须对其</w:t>
      </w:r>
      <w:r>
        <w:rPr>
          <w:rFonts w:hint="eastAsia" w:ascii="宋体" w:hAnsi="宋体"/>
          <w:color w:val="000000" w:themeColor="text1"/>
          <w:sz w:val="24"/>
          <w:lang w:val="en-US" w:eastAsia="zh-CN"/>
          <w14:textFill>
            <w14:solidFill>
              <w14:schemeClr w14:val="tx1"/>
            </w14:solidFill>
          </w14:textFill>
        </w:rPr>
        <w:t>响应文件</w:t>
      </w:r>
      <w:r>
        <w:rPr>
          <w:rFonts w:hint="eastAsia" w:ascii="宋体" w:hAnsi="宋体"/>
          <w:color w:val="000000" w:themeColor="text1"/>
          <w:sz w:val="24"/>
          <w14:textFill>
            <w14:solidFill>
              <w14:schemeClr w14:val="tx1"/>
            </w14:solidFill>
          </w14:textFill>
        </w:rPr>
        <w:t>提供各种资料、说明的真实性负责。成交后，采购人有可能对</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lang w:val="en-US" w:eastAsia="zh-CN"/>
          <w14:textFill>
            <w14:solidFill>
              <w14:schemeClr w14:val="tx1"/>
            </w14:solidFill>
          </w14:textFill>
        </w:rPr>
        <w:t>响应</w:t>
      </w:r>
      <w:r>
        <w:rPr>
          <w:rFonts w:hint="eastAsia" w:ascii="宋体" w:hAnsi="宋体"/>
          <w:color w:val="000000" w:themeColor="text1"/>
          <w:sz w:val="24"/>
          <w14:textFill>
            <w14:solidFill>
              <w14:schemeClr w14:val="tx1"/>
            </w14:solidFill>
          </w14:textFill>
        </w:rPr>
        <w:t>文件中的承诺内容和证明材料进行核查，</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应无条件配合采购人的核查工作，不得托词拒绝核查或隐瞒真实情况。发现</w:t>
      </w:r>
      <w:r>
        <w:rPr>
          <w:rFonts w:hint="eastAsia" w:ascii="宋体" w:hAnsi="宋体" w:cs="宋体"/>
          <w:b w:val="0"/>
          <w:bCs w:val="0"/>
          <w:color w:val="auto"/>
          <w:sz w:val="24"/>
          <w:szCs w:val="24"/>
          <w:highlight w:val="none"/>
          <w:lang w:val="en-US" w:eastAsia="zh-CN"/>
        </w:rPr>
        <w:t>成交供应商</w:t>
      </w:r>
      <w:r>
        <w:rPr>
          <w:rFonts w:hint="eastAsia" w:ascii="宋体" w:hAnsi="宋体"/>
          <w:color w:val="000000" w:themeColor="text1"/>
          <w:sz w:val="24"/>
          <w14:textFill>
            <w14:solidFill>
              <w14:schemeClr w14:val="tx1"/>
            </w14:solidFill>
          </w14:textFill>
        </w:rPr>
        <w:t>提供虚假材料的，采购人将取消其成交资格，给采购人造成损失的，必须进行赔偿并负相关责任。</w:t>
      </w:r>
    </w:p>
    <w:p w14:paraId="461AD5D4">
      <w:pPr>
        <w:keepNext w:val="0"/>
        <w:keepLines w:val="0"/>
        <w:pageBreakBefore w:val="0"/>
        <w:widowControl w:val="0"/>
        <w:numPr>
          <w:ilvl w:val="0"/>
          <w:numId w:val="0"/>
        </w:numPr>
        <w:tabs>
          <w:tab w:val="left" w:pos="900"/>
          <w:tab w:val="left" w:pos="1100"/>
        </w:tabs>
        <w:kinsoku/>
        <w:wordWrap/>
        <w:overflowPunct/>
        <w:topLinePunct w:val="0"/>
        <w:autoSpaceDE/>
        <w:autoSpaceDN/>
        <w:bidi w:val="0"/>
        <w:snapToGrid/>
        <w:spacing w:line="400" w:lineRule="exact"/>
        <w:ind w:firstLine="470" w:firstLineChars="196"/>
        <w:rPr>
          <w:rFonts w:hint="eastAsia" w:ascii="宋体" w:hAnsi="宋体"/>
          <w:sz w:val="24"/>
          <w:lang w:eastAsia="zh-CN"/>
        </w:rPr>
      </w:pPr>
      <w:r>
        <w:rPr>
          <w:rFonts w:hint="eastAsia" w:ascii="宋体" w:hAnsi="宋体"/>
          <w:sz w:val="24"/>
          <w:lang w:val="en-US" w:eastAsia="zh-CN"/>
        </w:rPr>
        <w:t>15.2</w:t>
      </w:r>
      <w:r>
        <w:rPr>
          <w:rFonts w:hint="eastAsia" w:ascii="宋体" w:hAnsi="宋体"/>
          <w:sz w:val="24"/>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r>
        <w:rPr>
          <w:rFonts w:hint="eastAsia" w:ascii="宋体" w:hAnsi="宋体"/>
          <w:sz w:val="24"/>
          <w:lang w:eastAsia="zh-CN"/>
        </w:rPr>
        <w:t>（</w:t>
      </w:r>
      <w:r>
        <w:rPr>
          <w:rFonts w:hint="eastAsia" w:ascii="宋体" w:hAnsi="宋体"/>
          <w:sz w:val="24"/>
        </w:rPr>
        <w:t>不可抗力指不能预见、不能避免并不能克服的客观情况。包括但不限于：自然灾害如地震、台风、洪水、火灾；政府行为、法律规定或其适用的变化或者其他任何无法预见、避免或者控制的事件</w:t>
      </w:r>
      <w:r>
        <w:rPr>
          <w:rFonts w:hint="eastAsia" w:ascii="宋体" w:hAnsi="宋体"/>
          <w:sz w:val="24"/>
          <w:lang w:eastAsia="zh-CN"/>
        </w:rPr>
        <w:t>）</w:t>
      </w:r>
    </w:p>
    <w:p w14:paraId="5C2113A0">
      <w:pPr>
        <w:keepNext w:val="0"/>
        <w:keepLines w:val="0"/>
        <w:pageBreakBefore w:val="0"/>
        <w:widowControl w:val="0"/>
        <w:numPr>
          <w:ilvl w:val="0"/>
          <w:numId w:val="0"/>
        </w:numPr>
        <w:tabs>
          <w:tab w:val="left" w:pos="900"/>
          <w:tab w:val="left" w:pos="1100"/>
        </w:tabs>
        <w:kinsoku/>
        <w:wordWrap/>
        <w:overflowPunct/>
        <w:topLinePunct w:val="0"/>
        <w:autoSpaceDE/>
        <w:autoSpaceDN/>
        <w:bidi w:val="0"/>
        <w:snapToGrid/>
        <w:spacing w:line="400" w:lineRule="exact"/>
        <w:ind w:firstLine="472" w:firstLineChars="196"/>
        <w:rPr>
          <w:rFonts w:hint="eastAsia" w:ascii="宋体" w:hAnsi="宋体"/>
          <w:b/>
          <w:bCs/>
          <w:color w:val="000000" w:themeColor="text1"/>
          <w:sz w:val="24"/>
          <w:lang w:val="en-US" w:eastAsia="zh-CN"/>
          <w14:textFill>
            <w14:solidFill>
              <w14:schemeClr w14:val="tx1"/>
            </w14:solidFill>
          </w14:textFill>
        </w:rPr>
      </w:pPr>
      <w:r>
        <w:rPr>
          <w:rFonts w:hint="eastAsia" w:ascii="宋体" w:hAnsi="宋体" w:eastAsia="宋体" w:cs="Times New Roman"/>
          <w:b/>
          <w:bCs/>
          <w:color w:val="000000" w:themeColor="text1"/>
          <w:kern w:val="2"/>
          <w:sz w:val="24"/>
          <w:szCs w:val="24"/>
          <w:lang w:val="en-US" w:eastAsia="zh-CN" w:bidi="ar-SA"/>
          <w14:textFill>
            <w14:solidFill>
              <w14:schemeClr w14:val="tx1"/>
            </w14:solidFill>
          </w14:textFill>
        </w:rPr>
        <w:t>16、</w:t>
      </w:r>
      <w:r>
        <w:rPr>
          <w:rFonts w:hint="eastAsia" w:ascii="宋体" w:hAnsi="宋体"/>
          <w:b/>
          <w:bCs/>
          <w:color w:val="000000" w:themeColor="text1"/>
          <w:sz w:val="24"/>
          <w:lang w:val="en-US" w:eastAsia="zh-CN"/>
          <w14:textFill>
            <w14:solidFill>
              <w14:schemeClr w14:val="tx1"/>
            </w14:solidFill>
          </w14:textFill>
        </w:rPr>
        <w:t>纠纷处理方式：</w:t>
      </w:r>
    </w:p>
    <w:p w14:paraId="6A4B1801">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default" w:ascii="宋体" w:hAnsi="宋体"/>
          <w:b/>
          <w:bCs/>
          <w:color w:val="000000" w:themeColor="text1"/>
          <w:sz w:val="24"/>
          <w:lang w:val="en-US" w:eastAsia="zh-CN"/>
          <w14:textFill>
            <w14:solidFill>
              <w14:schemeClr w14:val="tx1"/>
            </w14:solidFill>
          </w14:textFill>
        </w:rPr>
      </w:pPr>
      <w:r>
        <w:rPr>
          <w:rFonts w:hint="default" w:ascii="宋体" w:hAnsi="宋体" w:eastAsia="宋体" w:cs="宋体"/>
          <w:b w:val="0"/>
          <w:bCs w:val="0"/>
          <w:sz w:val="24"/>
          <w:szCs w:val="24"/>
          <w:lang w:val="en-US" w:eastAsia="zh-CN"/>
        </w:rPr>
        <w:t>本采购形成的合同，因合同或与合同有关的一切事项发生争议，由采购人、成交</w:t>
      </w:r>
      <w:r>
        <w:rPr>
          <w:rFonts w:hint="eastAsia" w:cs="宋体"/>
          <w:b w:val="0"/>
          <w:bCs w:val="0"/>
          <w:sz w:val="24"/>
          <w:szCs w:val="24"/>
          <w:lang w:val="en-US" w:eastAsia="zh-CN"/>
        </w:rPr>
        <w:t>供应商</w:t>
      </w:r>
      <w:r>
        <w:rPr>
          <w:rFonts w:hint="default" w:ascii="宋体" w:hAnsi="宋体" w:eastAsia="宋体" w:cs="宋体"/>
          <w:b w:val="0"/>
          <w:bCs w:val="0"/>
          <w:sz w:val="24"/>
          <w:szCs w:val="24"/>
          <w:lang w:val="en-US" w:eastAsia="zh-CN"/>
        </w:rPr>
        <w:t>双方友好协商解决。协商不成的，任何一方均可选择向双方所在地仲裁委员会申请仲裁或人民法院提起诉讼。</w:t>
      </w:r>
    </w:p>
    <w:p w14:paraId="26E81238">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eastAsia="宋体"/>
          <w:szCs w:val="24"/>
          <w:lang w:eastAsia="zh-CN"/>
        </w:rPr>
      </w:pPr>
      <w:r>
        <w:rPr>
          <w:rFonts w:hint="eastAsia" w:cs="宋体"/>
          <w:b/>
          <w:bCs/>
          <w:szCs w:val="24"/>
          <w:lang w:val="en-US" w:eastAsia="zh-CN"/>
        </w:rPr>
        <w:t>17</w:t>
      </w:r>
      <w:r>
        <w:rPr>
          <w:rFonts w:hint="eastAsia" w:ascii="宋体" w:hAnsi="宋体" w:cs="宋体"/>
          <w:b/>
          <w:bCs/>
          <w:szCs w:val="24"/>
        </w:rPr>
        <w:t>、其他事项</w:t>
      </w:r>
      <w:r>
        <w:rPr>
          <w:rFonts w:hint="eastAsia" w:cs="宋体"/>
          <w:b/>
          <w:bCs/>
          <w:szCs w:val="24"/>
          <w:lang w:eastAsia="zh-CN"/>
        </w:rPr>
        <w:t>：</w:t>
      </w:r>
    </w:p>
    <w:p w14:paraId="3DF70696">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.1供应商成交后，不得以任何理由将本项目分包、转包给第三方。</w:t>
      </w:r>
    </w:p>
    <w:p w14:paraId="75739AAD">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.2若出现有关法律、法规和规章有强制性规定但</w:t>
      </w:r>
      <w:r>
        <w:rPr>
          <w:rFonts w:hint="eastAsia" w:cs="宋体"/>
          <w:b w:val="0"/>
          <w:bCs w:val="0"/>
          <w:sz w:val="24"/>
          <w:szCs w:val="24"/>
          <w:lang w:val="en-US" w:eastAsia="zh-CN"/>
        </w:rPr>
        <w:t>网上竞价</w:t>
      </w:r>
      <w:r>
        <w:rPr>
          <w:rFonts w:hint="eastAsia" w:ascii="宋体" w:hAnsi="宋体" w:eastAsia="宋体" w:cs="宋体"/>
          <w:b w:val="0"/>
          <w:bCs w:val="0"/>
          <w:sz w:val="24"/>
          <w:szCs w:val="24"/>
          <w:lang w:val="en-US" w:eastAsia="zh-CN"/>
        </w:rPr>
        <w:t>文件未列明的情形，则供应商应按照有关法律、法规和规章强制性规定执行。</w:t>
      </w:r>
    </w:p>
    <w:p w14:paraId="62771AC7">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cs="宋体"/>
          <w:b w:val="0"/>
          <w:bCs w:val="0"/>
          <w:sz w:val="24"/>
          <w:szCs w:val="24"/>
          <w:lang w:val="en-US" w:eastAsia="zh-CN"/>
        </w:rPr>
        <w:t>17</w:t>
      </w:r>
      <w:r>
        <w:rPr>
          <w:rFonts w:hint="eastAsia" w:ascii="宋体" w:hAnsi="宋体" w:eastAsia="宋体" w:cs="宋体"/>
          <w:b w:val="0"/>
          <w:bCs w:val="0"/>
          <w:sz w:val="24"/>
          <w:szCs w:val="24"/>
          <w:lang w:val="en-US" w:eastAsia="zh-CN"/>
        </w:rPr>
        <w:t>.3本竞价文件未明确的其他约定事项或条款，待采购人与成交供应商签订合同时，由双方协商订立。</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w:t>
      </w:r>
      <w:r>
        <w:rPr>
          <w:rFonts w:hint="eastAsia" w:cs="宋体"/>
          <w:b w:val="0"/>
          <w:bCs w:val="0"/>
          <w:sz w:val="24"/>
          <w:szCs w:val="24"/>
          <w:lang w:val="en-US" w:eastAsia="zh-CN"/>
        </w:rPr>
        <w:t>7</w:t>
      </w:r>
      <w:r>
        <w:rPr>
          <w:rFonts w:hint="eastAsia" w:ascii="宋体" w:hAnsi="宋体" w:eastAsia="宋体" w:cs="宋体"/>
          <w:b w:val="0"/>
          <w:bCs w:val="0"/>
          <w:sz w:val="24"/>
          <w:szCs w:val="24"/>
          <w:lang w:val="en-US" w:eastAsia="zh-CN"/>
        </w:rPr>
        <w:t>.4供应商不得存在虚假应标谋取中标等行为，一经发现将取消其成交资格，并对其追究相关法律的责任。若第一成交候选人因不可抗力或自身原因提出不能履行合同，采购人可以重新招标。</w:t>
      </w:r>
    </w:p>
    <w:p w14:paraId="17C39650">
      <w:pPr>
        <w:widowControl/>
        <w:spacing w:line="360" w:lineRule="auto"/>
        <w:jc w:val="center"/>
        <w:rPr>
          <w:rFonts w:hint="eastAsia" w:ascii="宋体" w:hAnsi="宋体"/>
          <w:b/>
          <w:bCs/>
          <w:color w:val="auto"/>
          <w:sz w:val="36"/>
          <w:szCs w:val="36"/>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3"/>
        <w:spacing w:line="360" w:lineRule="auto"/>
        <w:rPr>
          <w:color w:val="auto"/>
          <w:highlight w:val="none"/>
        </w:rPr>
      </w:pPr>
    </w:p>
    <w:p w14:paraId="1C9B7D09">
      <w:pPr>
        <w:spacing w:line="360" w:lineRule="auto"/>
        <w:rPr>
          <w:color w:val="auto"/>
          <w:highlight w:val="none"/>
        </w:rPr>
      </w:pPr>
    </w:p>
    <w:p w14:paraId="6800853C">
      <w:pPr>
        <w:pStyle w:val="3"/>
        <w:spacing w:line="360" w:lineRule="auto"/>
        <w:rPr>
          <w:color w:val="auto"/>
          <w:highlight w:val="none"/>
        </w:rPr>
      </w:pPr>
    </w:p>
    <w:p w14:paraId="5A7E61FF">
      <w:pPr>
        <w:spacing w:line="360" w:lineRule="auto"/>
        <w:rPr>
          <w:color w:val="auto"/>
          <w:highlight w:val="none"/>
        </w:rPr>
      </w:pPr>
    </w:p>
    <w:p w14:paraId="41E83152">
      <w:pPr>
        <w:pStyle w:val="4"/>
        <w:spacing w:line="360" w:lineRule="auto"/>
        <w:rPr>
          <w:rFonts w:hint="default"/>
          <w:color w:val="auto"/>
          <w:highlight w:val="none"/>
        </w:rPr>
      </w:pPr>
    </w:p>
    <w:p w14:paraId="55C069FF">
      <w:pPr>
        <w:spacing w:line="360" w:lineRule="auto"/>
        <w:rPr>
          <w:color w:val="auto"/>
          <w:highlight w:val="none"/>
        </w:rPr>
      </w:pPr>
    </w:p>
    <w:p w14:paraId="20368753">
      <w:pPr>
        <w:pStyle w:val="4"/>
        <w:spacing w:line="360" w:lineRule="auto"/>
        <w:rPr>
          <w:rFonts w:hint="default"/>
          <w:color w:val="auto"/>
          <w:highlight w:val="none"/>
        </w:rPr>
      </w:pPr>
    </w:p>
    <w:p w14:paraId="2507E28E">
      <w:pPr>
        <w:spacing w:line="360" w:lineRule="auto"/>
        <w:rPr>
          <w:color w:val="auto"/>
          <w:highlight w:val="none"/>
        </w:rPr>
      </w:pPr>
    </w:p>
    <w:p w14:paraId="68F7C44C">
      <w:pPr>
        <w:pStyle w:val="4"/>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5"/>
        <w:spacing w:line="360" w:lineRule="auto"/>
        <w:rPr>
          <w:color w:val="auto"/>
          <w:highlight w:val="none"/>
        </w:rPr>
      </w:pPr>
    </w:p>
    <w:p w14:paraId="3FC45419">
      <w:pPr>
        <w:pStyle w:val="8"/>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3"/>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十一、我方获得成交资格后若无法按约定条款履行义务，采购人有权取消我方成交资格，我方完全接受按有关法规对我方的处罚。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4"/>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4"/>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583"/>
        <w:gridCol w:w="1878"/>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583"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878"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ascii="宋体" w:hAnsi="宋体" w:cs="宋体"/>
                <w:color w:val="auto"/>
                <w:sz w:val="24"/>
                <w:highlight w:val="none"/>
              </w:rPr>
            </w:pPr>
          </w:p>
        </w:tc>
        <w:tc>
          <w:tcPr>
            <w:tcW w:w="1583" w:type="dxa"/>
            <w:vAlign w:val="center"/>
          </w:tcPr>
          <w:p w14:paraId="03E2BE46">
            <w:pPr>
              <w:spacing w:line="360" w:lineRule="auto"/>
              <w:jc w:val="center"/>
              <w:rPr>
                <w:rFonts w:ascii="宋体" w:hAnsi="宋体" w:cs="宋体"/>
                <w:color w:val="auto"/>
                <w:sz w:val="24"/>
                <w:highlight w:val="none"/>
              </w:rPr>
            </w:pPr>
          </w:p>
        </w:tc>
        <w:tc>
          <w:tcPr>
            <w:tcW w:w="1878"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583" w:type="dxa"/>
            <w:vAlign w:val="center"/>
          </w:tcPr>
          <w:p w14:paraId="138BAC3E">
            <w:pPr>
              <w:spacing w:line="360" w:lineRule="auto"/>
              <w:jc w:val="center"/>
              <w:rPr>
                <w:rFonts w:ascii="宋体" w:hAnsi="宋体" w:cs="宋体"/>
                <w:color w:val="auto"/>
                <w:sz w:val="24"/>
                <w:highlight w:val="none"/>
              </w:rPr>
            </w:pPr>
          </w:p>
        </w:tc>
        <w:tc>
          <w:tcPr>
            <w:tcW w:w="1878"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13"/>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0"/>
        </w:numPr>
        <w:spacing w:before="0" w:beforeAutospacing="0" w:after="0" w:afterAutospacing="0" w:line="360" w:lineRule="auto"/>
        <w:rPr>
          <w:b/>
          <w:bCs/>
          <w:color w:val="auto"/>
          <w:highlight w:val="none"/>
        </w:rPr>
      </w:pPr>
      <w:r>
        <w:rPr>
          <w:rFonts w:ascii="宋体" w:hAnsi="宋体" w:eastAsia="宋体" w:cs="宋体"/>
          <w:b/>
          <w:bCs/>
          <w:color w:val="auto"/>
          <w:kern w:val="0"/>
          <w:sz w:val="24"/>
          <w:szCs w:val="24"/>
          <w:lang w:val="en-US" w:eastAsia="zh-CN" w:bidi="ar-SA"/>
        </w:rPr>
        <w:t>（1）</w:t>
      </w: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8"/>
        <w:spacing w:line="360" w:lineRule="auto"/>
        <w:ind w:left="0" w:leftChars="0"/>
        <w:rPr>
          <w:rFonts w:ascii="宋体" w:hAnsi="宋体" w:cs="宋体"/>
          <w:color w:val="auto"/>
          <w:sz w:val="24"/>
          <w:highlight w:val="none"/>
        </w:rPr>
      </w:pPr>
    </w:p>
    <w:p w14:paraId="1119D3D2">
      <w:pPr>
        <w:pStyle w:val="13"/>
        <w:spacing w:line="360" w:lineRule="auto"/>
        <w:rPr>
          <w:rFonts w:ascii="宋体" w:hAnsi="宋体" w:cs="宋体"/>
          <w:color w:val="auto"/>
          <w:sz w:val="24"/>
          <w:highlight w:val="none"/>
        </w:rPr>
      </w:pPr>
    </w:p>
    <w:p w14:paraId="5321318A">
      <w:pPr>
        <w:pStyle w:val="13"/>
        <w:spacing w:line="360" w:lineRule="auto"/>
        <w:rPr>
          <w:rFonts w:ascii="宋体" w:hAnsi="宋体" w:cs="宋体"/>
          <w:color w:val="auto"/>
          <w:sz w:val="24"/>
          <w:highlight w:val="none"/>
        </w:rPr>
      </w:pPr>
    </w:p>
    <w:p w14:paraId="3C82014B">
      <w:pPr>
        <w:pStyle w:val="13"/>
        <w:spacing w:line="360" w:lineRule="auto"/>
        <w:rPr>
          <w:rFonts w:ascii="宋体" w:hAnsi="宋体" w:cs="宋体"/>
          <w:color w:val="auto"/>
          <w:sz w:val="24"/>
          <w:highlight w:val="none"/>
        </w:rPr>
      </w:pPr>
    </w:p>
    <w:p w14:paraId="3726D4AE">
      <w:pPr>
        <w:pStyle w:val="13"/>
        <w:spacing w:line="360" w:lineRule="auto"/>
        <w:rPr>
          <w:rFonts w:ascii="宋体" w:hAnsi="宋体" w:cs="宋体"/>
          <w:color w:val="auto"/>
          <w:sz w:val="24"/>
          <w:highlight w:val="none"/>
        </w:rPr>
      </w:pPr>
    </w:p>
    <w:p w14:paraId="0F16B34A">
      <w:pPr>
        <w:pStyle w:val="13"/>
        <w:spacing w:line="360" w:lineRule="auto"/>
        <w:rPr>
          <w:rFonts w:ascii="宋体" w:hAnsi="宋体" w:cs="宋体"/>
          <w:color w:val="auto"/>
          <w:sz w:val="24"/>
          <w:highlight w:val="none"/>
        </w:rPr>
      </w:pPr>
    </w:p>
    <w:p w14:paraId="73F56BF6">
      <w:pPr>
        <w:pStyle w:val="13"/>
        <w:spacing w:line="360" w:lineRule="auto"/>
        <w:rPr>
          <w:rFonts w:ascii="宋体" w:hAnsi="宋体" w:cs="宋体"/>
          <w:color w:val="auto"/>
          <w:sz w:val="24"/>
          <w:highlight w:val="none"/>
        </w:rPr>
      </w:pPr>
    </w:p>
    <w:p w14:paraId="61FA2276">
      <w:pPr>
        <w:pStyle w:val="13"/>
        <w:spacing w:line="360" w:lineRule="auto"/>
        <w:rPr>
          <w:rFonts w:ascii="宋体" w:hAnsi="宋体" w:cs="宋体"/>
          <w:color w:val="auto"/>
          <w:sz w:val="24"/>
          <w:highlight w:val="none"/>
        </w:rPr>
      </w:pPr>
    </w:p>
    <w:p w14:paraId="468F1230">
      <w:pPr>
        <w:pStyle w:val="13"/>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8"/>
        <w:spacing w:line="360" w:lineRule="auto"/>
        <w:ind w:left="0" w:leftChars="0"/>
        <w:rPr>
          <w:rFonts w:ascii="宋体" w:hAnsi="宋体" w:cs="宋体"/>
          <w:b/>
          <w:bCs/>
          <w:color w:val="auto"/>
          <w:sz w:val="28"/>
          <w:szCs w:val="28"/>
          <w:highlight w:val="none"/>
        </w:rPr>
      </w:pPr>
    </w:p>
    <w:p w14:paraId="2C71186F">
      <w:pPr>
        <w:pStyle w:val="13"/>
        <w:spacing w:line="360" w:lineRule="auto"/>
        <w:rPr>
          <w:rFonts w:ascii="宋体" w:hAnsi="宋体" w:cs="宋体"/>
          <w:b/>
          <w:bCs/>
          <w:color w:val="auto"/>
          <w:sz w:val="28"/>
          <w:szCs w:val="28"/>
          <w:highlight w:val="none"/>
        </w:rPr>
      </w:pPr>
    </w:p>
    <w:p w14:paraId="0776CC2D">
      <w:pPr>
        <w:pStyle w:val="13"/>
        <w:spacing w:line="360" w:lineRule="auto"/>
        <w:rPr>
          <w:rFonts w:ascii="宋体" w:hAnsi="宋体" w:cs="宋体"/>
          <w:b/>
          <w:bCs/>
          <w:color w:val="auto"/>
          <w:sz w:val="28"/>
          <w:szCs w:val="28"/>
          <w:highlight w:val="none"/>
        </w:rPr>
      </w:pPr>
    </w:p>
    <w:p w14:paraId="79EF7A83">
      <w:pPr>
        <w:pStyle w:val="8"/>
        <w:spacing w:line="360" w:lineRule="auto"/>
        <w:ind w:left="0" w:leftChars="0"/>
        <w:rPr>
          <w:rFonts w:ascii="宋体" w:hAnsi="宋体" w:cs="宋体"/>
          <w:b/>
          <w:bCs/>
          <w:color w:val="auto"/>
          <w:sz w:val="28"/>
          <w:szCs w:val="28"/>
          <w:highlight w:val="none"/>
        </w:rPr>
      </w:pPr>
    </w:p>
    <w:p w14:paraId="06B2F9FD">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13"/>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13"/>
        <w:spacing w:line="360" w:lineRule="auto"/>
        <w:rPr>
          <w:rFonts w:ascii="宋体" w:hAnsi="宋体" w:cs="宋体"/>
          <w:b/>
          <w:bCs/>
          <w:color w:val="auto"/>
          <w:sz w:val="28"/>
          <w:szCs w:val="28"/>
          <w:highlight w:val="none"/>
        </w:rPr>
      </w:pPr>
    </w:p>
    <w:p w14:paraId="31F6CFBA">
      <w:pPr>
        <w:pStyle w:val="8"/>
        <w:spacing w:line="360" w:lineRule="auto"/>
        <w:ind w:left="0" w:leftChars="0"/>
        <w:jc w:val="center"/>
        <w:rPr>
          <w:rFonts w:ascii="宋体" w:hAnsi="宋体" w:cs="宋体"/>
          <w:b/>
          <w:bCs/>
          <w:color w:val="auto"/>
          <w:sz w:val="28"/>
          <w:szCs w:val="28"/>
          <w:highlight w:val="none"/>
        </w:rPr>
      </w:pPr>
    </w:p>
    <w:p w14:paraId="37897154">
      <w:pPr>
        <w:pStyle w:val="8"/>
        <w:spacing w:line="360" w:lineRule="auto"/>
        <w:ind w:left="0" w:leftChars="0"/>
        <w:jc w:val="center"/>
        <w:rPr>
          <w:rFonts w:ascii="宋体" w:hAnsi="宋体" w:cs="宋体"/>
          <w:b/>
          <w:bCs/>
          <w:color w:val="auto"/>
          <w:sz w:val="28"/>
          <w:szCs w:val="28"/>
          <w:highlight w:val="none"/>
        </w:rPr>
      </w:pPr>
    </w:p>
    <w:p w14:paraId="19D064AE">
      <w:pPr>
        <w:pStyle w:val="8"/>
        <w:spacing w:line="360" w:lineRule="auto"/>
        <w:ind w:left="0" w:leftChars="0"/>
        <w:jc w:val="center"/>
        <w:rPr>
          <w:rFonts w:ascii="宋体" w:hAnsi="宋体" w:cs="宋体"/>
          <w:b/>
          <w:bCs/>
          <w:color w:val="auto"/>
          <w:sz w:val="28"/>
          <w:szCs w:val="28"/>
          <w:highlight w:val="none"/>
        </w:rPr>
      </w:pPr>
    </w:p>
    <w:p w14:paraId="0ED390FA">
      <w:pPr>
        <w:pStyle w:val="8"/>
        <w:spacing w:line="360" w:lineRule="auto"/>
        <w:ind w:left="0" w:leftChars="0"/>
        <w:jc w:val="center"/>
        <w:rPr>
          <w:rFonts w:ascii="宋体" w:hAnsi="宋体" w:cs="宋体"/>
          <w:b/>
          <w:bCs/>
          <w:color w:val="auto"/>
          <w:sz w:val="28"/>
          <w:szCs w:val="28"/>
          <w:highlight w:val="none"/>
        </w:rPr>
      </w:pPr>
    </w:p>
    <w:p w14:paraId="3C84BE07">
      <w:pPr>
        <w:pStyle w:val="8"/>
        <w:spacing w:line="360" w:lineRule="auto"/>
        <w:ind w:left="0" w:leftChars="0"/>
        <w:jc w:val="center"/>
        <w:rPr>
          <w:rFonts w:ascii="宋体" w:hAnsi="宋体" w:cs="宋体"/>
          <w:b/>
          <w:bCs/>
          <w:color w:val="auto"/>
          <w:sz w:val="28"/>
          <w:szCs w:val="28"/>
          <w:highlight w:val="none"/>
        </w:rPr>
      </w:pPr>
    </w:p>
    <w:p w14:paraId="64E4F662">
      <w:pPr>
        <w:pStyle w:val="8"/>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8"/>
        <w:spacing w:line="360" w:lineRule="auto"/>
        <w:ind w:left="0" w:leftChars="0"/>
        <w:jc w:val="center"/>
        <w:rPr>
          <w:rFonts w:ascii="宋体" w:hAnsi="宋体" w:cs="宋体"/>
          <w:b/>
          <w:bCs/>
          <w:color w:val="auto"/>
          <w:sz w:val="28"/>
          <w:szCs w:val="28"/>
          <w:highlight w:val="none"/>
        </w:rPr>
      </w:pPr>
    </w:p>
    <w:p w14:paraId="7CEA87EF">
      <w:pPr>
        <w:pStyle w:val="8"/>
        <w:spacing w:line="360" w:lineRule="auto"/>
        <w:ind w:left="0" w:leftChars="0"/>
        <w:jc w:val="center"/>
        <w:rPr>
          <w:rFonts w:ascii="宋体" w:hAnsi="宋体" w:cs="宋体"/>
          <w:b/>
          <w:bCs/>
          <w:color w:val="auto"/>
          <w:sz w:val="28"/>
          <w:szCs w:val="28"/>
          <w:highlight w:val="none"/>
        </w:rPr>
      </w:pPr>
    </w:p>
    <w:p w14:paraId="331B2308">
      <w:pPr>
        <w:pStyle w:val="8"/>
        <w:spacing w:line="360" w:lineRule="auto"/>
        <w:ind w:left="0" w:leftChars="0"/>
        <w:jc w:val="center"/>
        <w:rPr>
          <w:rFonts w:ascii="宋体" w:hAnsi="宋体" w:cs="宋体"/>
          <w:b/>
          <w:bCs/>
          <w:color w:val="auto"/>
          <w:sz w:val="28"/>
          <w:szCs w:val="28"/>
          <w:highlight w:val="none"/>
        </w:rPr>
      </w:pPr>
    </w:p>
    <w:p w14:paraId="574F2A9B">
      <w:pPr>
        <w:pStyle w:val="8"/>
        <w:spacing w:line="360" w:lineRule="auto"/>
        <w:ind w:left="0" w:leftChars="0"/>
        <w:jc w:val="center"/>
        <w:rPr>
          <w:rFonts w:ascii="宋体" w:hAnsi="宋体" w:cs="宋体"/>
          <w:b/>
          <w:bCs/>
          <w:color w:val="auto"/>
          <w:sz w:val="28"/>
          <w:szCs w:val="28"/>
          <w:highlight w:val="none"/>
        </w:rPr>
      </w:pPr>
    </w:p>
    <w:p w14:paraId="3DB00B5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13"/>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13"/>
        <w:spacing w:line="360" w:lineRule="auto"/>
        <w:rPr>
          <w:rFonts w:ascii="宋体" w:hAnsi="宋体" w:cs="宋体"/>
          <w:b/>
          <w:bCs/>
          <w:color w:val="auto"/>
          <w:sz w:val="28"/>
          <w:szCs w:val="28"/>
          <w:highlight w:val="none"/>
        </w:rPr>
      </w:pPr>
    </w:p>
    <w:p w14:paraId="22A9EDD9">
      <w:pPr>
        <w:pStyle w:val="13"/>
        <w:spacing w:line="360" w:lineRule="auto"/>
        <w:rPr>
          <w:color w:val="auto"/>
          <w:highlight w:val="none"/>
        </w:rPr>
      </w:pPr>
    </w:p>
    <w:p w14:paraId="01C7C78E">
      <w:pPr>
        <w:pStyle w:val="13"/>
        <w:spacing w:line="360" w:lineRule="auto"/>
        <w:rPr>
          <w:color w:val="auto"/>
          <w:highlight w:val="none"/>
        </w:rPr>
      </w:pPr>
    </w:p>
    <w:p w14:paraId="35556AE7">
      <w:pPr>
        <w:pStyle w:val="13"/>
        <w:spacing w:line="360" w:lineRule="auto"/>
        <w:rPr>
          <w:color w:val="auto"/>
          <w:highlight w:val="none"/>
        </w:rPr>
      </w:pPr>
    </w:p>
    <w:p w14:paraId="4E1A6E85">
      <w:pPr>
        <w:pStyle w:val="13"/>
        <w:spacing w:line="360" w:lineRule="auto"/>
        <w:rPr>
          <w:color w:val="auto"/>
          <w:highlight w:val="none"/>
        </w:rPr>
      </w:pPr>
    </w:p>
    <w:p w14:paraId="46AD2750">
      <w:pPr>
        <w:pStyle w:val="13"/>
        <w:spacing w:line="360" w:lineRule="auto"/>
        <w:rPr>
          <w:color w:val="auto"/>
          <w:highlight w:val="none"/>
        </w:rPr>
      </w:pPr>
    </w:p>
    <w:p w14:paraId="1913FC5F">
      <w:pPr>
        <w:pStyle w:val="13"/>
        <w:spacing w:line="360" w:lineRule="auto"/>
        <w:rPr>
          <w:color w:val="auto"/>
          <w:highlight w:val="none"/>
        </w:rPr>
      </w:pPr>
    </w:p>
    <w:p w14:paraId="61F60254">
      <w:pPr>
        <w:pStyle w:val="13"/>
        <w:spacing w:line="360" w:lineRule="auto"/>
        <w:rPr>
          <w:color w:val="auto"/>
          <w:highlight w:val="none"/>
        </w:rPr>
      </w:pPr>
    </w:p>
    <w:p w14:paraId="02CCF8EF">
      <w:pPr>
        <w:pStyle w:val="13"/>
        <w:spacing w:line="360" w:lineRule="auto"/>
        <w:rPr>
          <w:color w:val="auto"/>
          <w:highlight w:val="none"/>
        </w:rPr>
      </w:pPr>
    </w:p>
    <w:p w14:paraId="40D9D294">
      <w:pPr>
        <w:pStyle w:val="13"/>
        <w:spacing w:line="360" w:lineRule="auto"/>
        <w:rPr>
          <w:color w:val="auto"/>
          <w:highlight w:val="none"/>
        </w:rPr>
      </w:pPr>
    </w:p>
    <w:p w14:paraId="26CFA76D">
      <w:pPr>
        <w:pStyle w:val="13"/>
        <w:spacing w:line="360" w:lineRule="auto"/>
        <w:rPr>
          <w:color w:val="auto"/>
          <w:highlight w:val="none"/>
        </w:rPr>
      </w:pPr>
    </w:p>
    <w:p w14:paraId="6236DE25">
      <w:pPr>
        <w:pStyle w:val="13"/>
        <w:spacing w:line="360" w:lineRule="auto"/>
        <w:rPr>
          <w:color w:val="auto"/>
          <w:highlight w:val="none"/>
        </w:rPr>
      </w:pPr>
    </w:p>
    <w:p w14:paraId="3DC90531">
      <w:pPr>
        <w:pStyle w:val="13"/>
        <w:spacing w:line="360" w:lineRule="auto"/>
        <w:rPr>
          <w:color w:val="auto"/>
          <w:highlight w:val="none"/>
        </w:rPr>
      </w:pPr>
    </w:p>
    <w:p w14:paraId="6810E63F">
      <w:pPr>
        <w:pStyle w:val="13"/>
        <w:spacing w:line="360" w:lineRule="auto"/>
        <w:rPr>
          <w:color w:val="auto"/>
          <w:highlight w:val="none"/>
        </w:rPr>
      </w:pPr>
    </w:p>
    <w:p w14:paraId="2D859747">
      <w:pPr>
        <w:pStyle w:val="13"/>
        <w:spacing w:line="360" w:lineRule="auto"/>
        <w:rPr>
          <w:color w:val="auto"/>
          <w:highlight w:val="none"/>
        </w:rPr>
      </w:pPr>
    </w:p>
    <w:p w14:paraId="1A9B0A73">
      <w:pPr>
        <w:pStyle w:val="13"/>
        <w:spacing w:line="360" w:lineRule="auto"/>
        <w:rPr>
          <w:color w:val="auto"/>
          <w:highlight w:val="none"/>
        </w:rPr>
      </w:pPr>
    </w:p>
    <w:p w14:paraId="09BAEE96">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5"/>
        <w:spacing w:line="360" w:lineRule="auto"/>
        <w:rPr>
          <w:rFonts w:ascii="楷体_GB2312" w:eastAsia="楷体_GB2312"/>
          <w:b/>
          <w:color w:val="auto"/>
          <w:sz w:val="40"/>
          <w:szCs w:val="40"/>
          <w:highlight w:val="none"/>
        </w:rPr>
      </w:pPr>
    </w:p>
    <w:p w14:paraId="5AB94BE7">
      <w:pPr>
        <w:pStyle w:val="8"/>
        <w:spacing w:line="360" w:lineRule="auto"/>
        <w:rPr>
          <w:rFonts w:ascii="楷体_GB2312" w:eastAsia="楷体_GB2312"/>
          <w:b/>
          <w:color w:val="auto"/>
          <w:sz w:val="40"/>
          <w:szCs w:val="40"/>
          <w:highlight w:val="none"/>
        </w:rPr>
      </w:pPr>
    </w:p>
    <w:p w14:paraId="2A9355F0">
      <w:pPr>
        <w:pStyle w:val="5"/>
        <w:spacing w:line="360" w:lineRule="auto"/>
        <w:rPr>
          <w:rFonts w:ascii="楷体_GB2312" w:eastAsia="楷体_GB2312"/>
          <w:b/>
          <w:color w:val="auto"/>
          <w:sz w:val="40"/>
          <w:szCs w:val="40"/>
          <w:highlight w:val="none"/>
        </w:rPr>
      </w:pPr>
    </w:p>
    <w:p w14:paraId="68ED7677">
      <w:pPr>
        <w:pStyle w:val="8"/>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13"/>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8"/>
        <w:spacing w:line="360" w:lineRule="auto"/>
        <w:rPr>
          <w:rFonts w:ascii="楷体_GB2312" w:eastAsia="楷体_GB2312"/>
          <w:b/>
          <w:color w:val="auto"/>
          <w:sz w:val="44"/>
          <w:szCs w:val="44"/>
          <w:highlight w:val="none"/>
        </w:rPr>
      </w:pPr>
    </w:p>
    <w:p w14:paraId="759833BB">
      <w:pPr>
        <w:pStyle w:val="5"/>
        <w:spacing w:line="360" w:lineRule="auto"/>
        <w:rPr>
          <w:rFonts w:ascii="楷体_GB2312" w:eastAsia="楷体_GB2312"/>
          <w:b/>
          <w:color w:val="auto"/>
          <w:sz w:val="44"/>
          <w:szCs w:val="44"/>
          <w:highlight w:val="none"/>
        </w:rPr>
      </w:pPr>
    </w:p>
    <w:p w14:paraId="798D6749">
      <w:pPr>
        <w:pStyle w:val="8"/>
        <w:spacing w:line="360" w:lineRule="auto"/>
        <w:rPr>
          <w:rFonts w:ascii="楷体_GB2312" w:eastAsia="楷体_GB2312"/>
          <w:b/>
          <w:color w:val="auto"/>
          <w:sz w:val="44"/>
          <w:szCs w:val="44"/>
          <w:highlight w:val="none"/>
        </w:rPr>
      </w:pPr>
    </w:p>
    <w:p w14:paraId="279E5D08">
      <w:pPr>
        <w:pStyle w:val="5"/>
        <w:spacing w:line="360" w:lineRule="auto"/>
        <w:rPr>
          <w:rFonts w:ascii="楷体_GB2312" w:eastAsia="楷体_GB2312"/>
          <w:b/>
          <w:color w:val="auto"/>
          <w:sz w:val="44"/>
          <w:szCs w:val="44"/>
          <w:highlight w:val="none"/>
        </w:rPr>
      </w:pPr>
    </w:p>
    <w:p w14:paraId="10B705AE">
      <w:pPr>
        <w:pStyle w:val="8"/>
        <w:spacing w:line="360" w:lineRule="auto"/>
        <w:rPr>
          <w:rFonts w:ascii="楷体_GB2312" w:eastAsia="楷体_GB2312"/>
          <w:b/>
          <w:color w:val="auto"/>
          <w:sz w:val="44"/>
          <w:szCs w:val="44"/>
          <w:highlight w:val="none"/>
        </w:rPr>
      </w:pPr>
    </w:p>
    <w:p w14:paraId="39C7FEC2">
      <w:pPr>
        <w:pStyle w:val="5"/>
        <w:spacing w:line="360" w:lineRule="auto"/>
        <w:rPr>
          <w:color w:val="auto"/>
          <w:highlight w:val="none"/>
        </w:rPr>
      </w:pPr>
    </w:p>
    <w:p w14:paraId="720CD7AA">
      <w:pPr>
        <w:pStyle w:val="8"/>
        <w:spacing w:line="360" w:lineRule="auto"/>
        <w:rPr>
          <w:rFonts w:ascii="楷体_GB2312" w:eastAsia="楷体_GB2312"/>
          <w:b/>
          <w:color w:val="auto"/>
          <w:sz w:val="44"/>
          <w:szCs w:val="44"/>
          <w:highlight w:val="none"/>
        </w:rPr>
      </w:pPr>
    </w:p>
    <w:p w14:paraId="7B4478DC">
      <w:pPr>
        <w:pStyle w:val="5"/>
        <w:spacing w:line="360" w:lineRule="auto"/>
        <w:rPr>
          <w:rFonts w:ascii="楷体_GB2312" w:eastAsia="楷体_GB2312"/>
          <w:b/>
          <w:color w:val="auto"/>
          <w:sz w:val="44"/>
          <w:szCs w:val="44"/>
          <w:highlight w:val="none"/>
        </w:rPr>
      </w:pPr>
    </w:p>
    <w:p w14:paraId="464E176B">
      <w:pPr>
        <w:pStyle w:val="8"/>
        <w:spacing w:line="360" w:lineRule="auto"/>
        <w:rPr>
          <w:rFonts w:ascii="楷体_GB2312" w:eastAsia="楷体_GB2312"/>
          <w:b/>
          <w:color w:val="auto"/>
          <w:sz w:val="44"/>
          <w:szCs w:val="44"/>
          <w:highlight w:val="none"/>
        </w:rPr>
      </w:pPr>
    </w:p>
    <w:p w14:paraId="7FED9A71">
      <w:pPr>
        <w:pStyle w:val="5"/>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9"/>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9"/>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9"/>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9"/>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4"/>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3"/>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040"/>
        <w:gridCol w:w="1890"/>
        <w:gridCol w:w="1255"/>
        <w:gridCol w:w="2065"/>
        <w:gridCol w:w="2205"/>
      </w:tblGrid>
      <w:tr w14:paraId="25F8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2" w:type="dxa"/>
            <w:vAlign w:val="center"/>
          </w:tcPr>
          <w:p w14:paraId="6EC853A3">
            <w:pPr>
              <w:pStyle w:val="9"/>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0" w:type="dxa"/>
            <w:vAlign w:val="center"/>
          </w:tcPr>
          <w:p w14:paraId="78DDEA58">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890" w:type="dxa"/>
            <w:vAlign w:val="center"/>
          </w:tcPr>
          <w:p w14:paraId="224954FE">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服务名称</w:t>
            </w:r>
          </w:p>
        </w:tc>
        <w:tc>
          <w:tcPr>
            <w:tcW w:w="1255" w:type="dxa"/>
            <w:vAlign w:val="center"/>
          </w:tcPr>
          <w:p w14:paraId="01BA6441">
            <w:pPr>
              <w:pStyle w:val="9"/>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65" w:type="dxa"/>
            <w:vAlign w:val="center"/>
          </w:tcPr>
          <w:p w14:paraId="38B8ED99">
            <w:pPr>
              <w:pStyle w:val="9"/>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default" w:hAnsi="宋体" w:eastAsia="宋体"/>
                <w:color w:val="auto"/>
                <w:kern w:val="2"/>
                <w:sz w:val="24"/>
                <w:highlight w:val="none"/>
                <w:lang w:val="en-US" w:eastAsia="zh-CN"/>
              </w:rPr>
              <w:t>交付时间</w:t>
            </w:r>
          </w:p>
        </w:tc>
        <w:tc>
          <w:tcPr>
            <w:tcW w:w="2205" w:type="dxa"/>
            <w:vAlign w:val="center"/>
          </w:tcPr>
          <w:p w14:paraId="58C53318">
            <w:pPr>
              <w:pStyle w:val="9"/>
              <w:snapToGrid w:val="0"/>
              <w:spacing w:line="240" w:lineRule="auto"/>
              <w:ind w:left="-105" w:leftChars="-50" w:right="-105" w:rightChars="-50"/>
              <w:jc w:val="center"/>
              <w:rPr>
                <w:rFonts w:hint="default"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08592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exact"/>
          <w:jc w:val="center"/>
        </w:trPr>
        <w:tc>
          <w:tcPr>
            <w:tcW w:w="962"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0" w:type="dxa"/>
            <w:vAlign w:val="center"/>
          </w:tcPr>
          <w:p w14:paraId="087196A1">
            <w:pPr>
              <w:snapToGrid w:val="0"/>
              <w:spacing w:line="240" w:lineRule="auto"/>
              <w:jc w:val="center"/>
              <w:rPr>
                <w:rFonts w:ascii="宋体" w:hAnsi="宋体"/>
                <w:color w:val="auto"/>
                <w:sz w:val="24"/>
                <w:highlight w:val="none"/>
              </w:rPr>
            </w:pPr>
          </w:p>
        </w:tc>
        <w:tc>
          <w:tcPr>
            <w:tcW w:w="1890" w:type="dxa"/>
            <w:vAlign w:val="center"/>
          </w:tcPr>
          <w:p w14:paraId="62261F02">
            <w:pPr>
              <w:snapToGrid w:val="0"/>
              <w:spacing w:line="240" w:lineRule="auto"/>
              <w:jc w:val="center"/>
              <w:rPr>
                <w:rFonts w:ascii="宋体" w:hAnsi="宋体"/>
                <w:color w:val="auto"/>
                <w:sz w:val="24"/>
                <w:highlight w:val="none"/>
              </w:rPr>
            </w:pPr>
          </w:p>
        </w:tc>
        <w:tc>
          <w:tcPr>
            <w:tcW w:w="1255" w:type="dxa"/>
            <w:vAlign w:val="center"/>
          </w:tcPr>
          <w:p w14:paraId="205748A0">
            <w:pPr>
              <w:snapToGrid w:val="0"/>
              <w:spacing w:line="240" w:lineRule="auto"/>
              <w:jc w:val="center"/>
              <w:rPr>
                <w:rFonts w:ascii="宋体" w:hAnsi="宋体"/>
                <w:color w:val="auto"/>
                <w:sz w:val="24"/>
                <w:highlight w:val="none"/>
              </w:rPr>
            </w:pPr>
          </w:p>
        </w:tc>
        <w:tc>
          <w:tcPr>
            <w:tcW w:w="2065" w:type="dxa"/>
            <w:vAlign w:val="center"/>
          </w:tcPr>
          <w:p w14:paraId="5F9E2280">
            <w:pPr>
              <w:snapToGrid w:val="0"/>
              <w:spacing w:line="240" w:lineRule="auto"/>
              <w:jc w:val="center"/>
              <w:rPr>
                <w:rFonts w:ascii="宋体" w:hAnsi="宋体" w:cs="宋体"/>
                <w:color w:val="auto"/>
                <w:kern w:val="0"/>
                <w:sz w:val="24"/>
                <w:highlight w:val="none"/>
              </w:rPr>
            </w:pPr>
          </w:p>
        </w:tc>
        <w:tc>
          <w:tcPr>
            <w:tcW w:w="2205" w:type="dxa"/>
            <w:vAlign w:val="center"/>
          </w:tcPr>
          <w:p w14:paraId="2F9659AC">
            <w:pPr>
              <w:widowControl/>
              <w:spacing w:line="240" w:lineRule="auto"/>
              <w:jc w:val="left"/>
              <w:rPr>
                <w:rFonts w:ascii="宋体" w:hAnsi="宋体"/>
                <w:color w:val="auto"/>
                <w:sz w:val="24"/>
                <w:highlight w:val="none"/>
              </w:rPr>
            </w:pPr>
          </w:p>
        </w:tc>
      </w:tr>
    </w:tbl>
    <w:p w14:paraId="5FF9CC48">
      <w:pPr>
        <w:pStyle w:val="33"/>
        <w:spacing w:line="360" w:lineRule="auto"/>
        <w:ind w:firstLine="6240" w:firstLineChars="2600"/>
        <w:rPr>
          <w:rFonts w:ascii="宋体" w:hAnsi="宋体"/>
          <w:color w:val="auto"/>
          <w:sz w:val="24"/>
          <w:highlight w:val="none"/>
        </w:rPr>
      </w:pPr>
    </w:p>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注：供应商在竞价系统中提交报价时须上传该《报价一览表》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2FECC45F">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2"/>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2"/>
                    </w:pPr>
                    <w:r>
                      <w:fldChar w:fldCharType="begin"/>
                    </w:r>
                    <w:r>
                      <w:instrText xml:space="preserve"> PAGE  \* MERGEFORMAT </w:instrText>
                    </w:r>
                    <w:r>
                      <w:fldChar w:fldCharType="separate"/>
                    </w:r>
                    <w:r>
                      <w:t>32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14E6042"/>
    <w:rsid w:val="01DE284B"/>
    <w:rsid w:val="02BC2FB5"/>
    <w:rsid w:val="03511AD9"/>
    <w:rsid w:val="03B84C51"/>
    <w:rsid w:val="03ED3BD7"/>
    <w:rsid w:val="045E36B4"/>
    <w:rsid w:val="046E6DD0"/>
    <w:rsid w:val="047E5946"/>
    <w:rsid w:val="04C91366"/>
    <w:rsid w:val="05017C52"/>
    <w:rsid w:val="056025B0"/>
    <w:rsid w:val="05B64224"/>
    <w:rsid w:val="061C715B"/>
    <w:rsid w:val="0696261C"/>
    <w:rsid w:val="069E7A64"/>
    <w:rsid w:val="06C453DB"/>
    <w:rsid w:val="07702EBF"/>
    <w:rsid w:val="08293E73"/>
    <w:rsid w:val="0972111F"/>
    <w:rsid w:val="09A06EBC"/>
    <w:rsid w:val="0A482682"/>
    <w:rsid w:val="0AF75143"/>
    <w:rsid w:val="0B043CFB"/>
    <w:rsid w:val="0CA2647A"/>
    <w:rsid w:val="0D2167C4"/>
    <w:rsid w:val="0D2D3085"/>
    <w:rsid w:val="0DAA7832"/>
    <w:rsid w:val="0DD979BE"/>
    <w:rsid w:val="0E0D1416"/>
    <w:rsid w:val="0FBD7DE5"/>
    <w:rsid w:val="10362DC0"/>
    <w:rsid w:val="10CE3388"/>
    <w:rsid w:val="10E42CCD"/>
    <w:rsid w:val="10F3591F"/>
    <w:rsid w:val="11790FDD"/>
    <w:rsid w:val="11AD4ADB"/>
    <w:rsid w:val="12057ABA"/>
    <w:rsid w:val="12103BCB"/>
    <w:rsid w:val="126445BB"/>
    <w:rsid w:val="14C01041"/>
    <w:rsid w:val="14DD66A2"/>
    <w:rsid w:val="15512530"/>
    <w:rsid w:val="160A26DF"/>
    <w:rsid w:val="164556E1"/>
    <w:rsid w:val="16810234"/>
    <w:rsid w:val="17254BB9"/>
    <w:rsid w:val="175D4ED0"/>
    <w:rsid w:val="17A728DB"/>
    <w:rsid w:val="192817FA"/>
    <w:rsid w:val="199476C8"/>
    <w:rsid w:val="19C44ADF"/>
    <w:rsid w:val="19F043F2"/>
    <w:rsid w:val="1A0F193E"/>
    <w:rsid w:val="1A512FD2"/>
    <w:rsid w:val="1AA3690C"/>
    <w:rsid w:val="1AC71843"/>
    <w:rsid w:val="1AD364FF"/>
    <w:rsid w:val="1ADE3486"/>
    <w:rsid w:val="1B08700D"/>
    <w:rsid w:val="1B261D69"/>
    <w:rsid w:val="1BF43CB2"/>
    <w:rsid w:val="1C7D1E5D"/>
    <w:rsid w:val="1DAA6E61"/>
    <w:rsid w:val="1E0F3C2B"/>
    <w:rsid w:val="1E2C09AB"/>
    <w:rsid w:val="1E897F61"/>
    <w:rsid w:val="1E9C2B8F"/>
    <w:rsid w:val="1F1C42EA"/>
    <w:rsid w:val="1F686EFF"/>
    <w:rsid w:val="1F87181B"/>
    <w:rsid w:val="1FB37FF3"/>
    <w:rsid w:val="21150CB8"/>
    <w:rsid w:val="213B2764"/>
    <w:rsid w:val="21646607"/>
    <w:rsid w:val="21657A51"/>
    <w:rsid w:val="22F17F9F"/>
    <w:rsid w:val="23B73EA6"/>
    <w:rsid w:val="23F4427C"/>
    <w:rsid w:val="24C943DF"/>
    <w:rsid w:val="25333A88"/>
    <w:rsid w:val="25776FB2"/>
    <w:rsid w:val="26B047DC"/>
    <w:rsid w:val="26BD4622"/>
    <w:rsid w:val="26C54B2C"/>
    <w:rsid w:val="27BC5F2F"/>
    <w:rsid w:val="27C42B43"/>
    <w:rsid w:val="280C1728"/>
    <w:rsid w:val="281B342F"/>
    <w:rsid w:val="28C13F2B"/>
    <w:rsid w:val="292A5ED6"/>
    <w:rsid w:val="2A604980"/>
    <w:rsid w:val="2A727AC6"/>
    <w:rsid w:val="2B5318E1"/>
    <w:rsid w:val="2BCE7FDF"/>
    <w:rsid w:val="2C226920"/>
    <w:rsid w:val="2CC80594"/>
    <w:rsid w:val="2D1F6544"/>
    <w:rsid w:val="2D484F7D"/>
    <w:rsid w:val="2D8017AD"/>
    <w:rsid w:val="2DDE2D69"/>
    <w:rsid w:val="2E1E7D97"/>
    <w:rsid w:val="2E2A6B73"/>
    <w:rsid w:val="2EBE2586"/>
    <w:rsid w:val="2ECC1930"/>
    <w:rsid w:val="2F4F4B8D"/>
    <w:rsid w:val="310E315F"/>
    <w:rsid w:val="31144260"/>
    <w:rsid w:val="312D39F9"/>
    <w:rsid w:val="31A35457"/>
    <w:rsid w:val="31B67ACD"/>
    <w:rsid w:val="334D7ECB"/>
    <w:rsid w:val="336F02F9"/>
    <w:rsid w:val="33F45566"/>
    <w:rsid w:val="34160775"/>
    <w:rsid w:val="3444677B"/>
    <w:rsid w:val="34EF6DE8"/>
    <w:rsid w:val="3503072C"/>
    <w:rsid w:val="35496928"/>
    <w:rsid w:val="356F257B"/>
    <w:rsid w:val="35786F8C"/>
    <w:rsid w:val="3591710A"/>
    <w:rsid w:val="35E30AE8"/>
    <w:rsid w:val="36F5483C"/>
    <w:rsid w:val="37704A11"/>
    <w:rsid w:val="389425B0"/>
    <w:rsid w:val="39137979"/>
    <w:rsid w:val="39524D90"/>
    <w:rsid w:val="3A9D764F"/>
    <w:rsid w:val="3BC31FF0"/>
    <w:rsid w:val="3C271A02"/>
    <w:rsid w:val="3C65673D"/>
    <w:rsid w:val="3CE851D3"/>
    <w:rsid w:val="3D035E9B"/>
    <w:rsid w:val="3D50551B"/>
    <w:rsid w:val="3D6C7658"/>
    <w:rsid w:val="3DC2628F"/>
    <w:rsid w:val="3DD60AE2"/>
    <w:rsid w:val="3DE90CA8"/>
    <w:rsid w:val="3E5C0069"/>
    <w:rsid w:val="3E797AD2"/>
    <w:rsid w:val="3E7A2DAA"/>
    <w:rsid w:val="3E8B1175"/>
    <w:rsid w:val="3EB412B6"/>
    <w:rsid w:val="3F9D7FAB"/>
    <w:rsid w:val="3F9E5AC2"/>
    <w:rsid w:val="3FAC28BB"/>
    <w:rsid w:val="3FB97B2C"/>
    <w:rsid w:val="40181D19"/>
    <w:rsid w:val="40884CA9"/>
    <w:rsid w:val="40BD676E"/>
    <w:rsid w:val="417E75E8"/>
    <w:rsid w:val="41910115"/>
    <w:rsid w:val="41D908F9"/>
    <w:rsid w:val="438B3EDE"/>
    <w:rsid w:val="44261222"/>
    <w:rsid w:val="4495014D"/>
    <w:rsid w:val="44AD0C2A"/>
    <w:rsid w:val="44F31851"/>
    <w:rsid w:val="458528C1"/>
    <w:rsid w:val="45AA573E"/>
    <w:rsid w:val="45B275F5"/>
    <w:rsid w:val="46BC33FE"/>
    <w:rsid w:val="46EE7477"/>
    <w:rsid w:val="47BC0C07"/>
    <w:rsid w:val="47E0311C"/>
    <w:rsid w:val="47EB4726"/>
    <w:rsid w:val="486D6713"/>
    <w:rsid w:val="489259CA"/>
    <w:rsid w:val="498B3956"/>
    <w:rsid w:val="4A4E42C3"/>
    <w:rsid w:val="4BB0030E"/>
    <w:rsid w:val="4BC53306"/>
    <w:rsid w:val="4C15710C"/>
    <w:rsid w:val="4C2E5FB6"/>
    <w:rsid w:val="4C63431C"/>
    <w:rsid w:val="4C9444D5"/>
    <w:rsid w:val="4CE2174D"/>
    <w:rsid w:val="4D505935"/>
    <w:rsid w:val="4D72372E"/>
    <w:rsid w:val="4E141911"/>
    <w:rsid w:val="4E370E84"/>
    <w:rsid w:val="4EBB778D"/>
    <w:rsid w:val="4F7C19ED"/>
    <w:rsid w:val="4F9A0268"/>
    <w:rsid w:val="4FB142EA"/>
    <w:rsid w:val="506863A4"/>
    <w:rsid w:val="507D6E7C"/>
    <w:rsid w:val="508F27C5"/>
    <w:rsid w:val="50F55D99"/>
    <w:rsid w:val="513814F5"/>
    <w:rsid w:val="513B5867"/>
    <w:rsid w:val="51497716"/>
    <w:rsid w:val="51A30093"/>
    <w:rsid w:val="520457CB"/>
    <w:rsid w:val="522C2C59"/>
    <w:rsid w:val="539774E2"/>
    <w:rsid w:val="53C953AC"/>
    <w:rsid w:val="53FD46B0"/>
    <w:rsid w:val="541A03F5"/>
    <w:rsid w:val="54C5216A"/>
    <w:rsid w:val="54D577A2"/>
    <w:rsid w:val="5527238A"/>
    <w:rsid w:val="55357439"/>
    <w:rsid w:val="56436A5D"/>
    <w:rsid w:val="571B7CCD"/>
    <w:rsid w:val="57286DB3"/>
    <w:rsid w:val="57315742"/>
    <w:rsid w:val="589A572D"/>
    <w:rsid w:val="589B7196"/>
    <w:rsid w:val="58C92DB8"/>
    <w:rsid w:val="590271D1"/>
    <w:rsid w:val="594608FB"/>
    <w:rsid w:val="5A2C4216"/>
    <w:rsid w:val="5A3433AD"/>
    <w:rsid w:val="5A550A07"/>
    <w:rsid w:val="5B761B8D"/>
    <w:rsid w:val="5BC000BF"/>
    <w:rsid w:val="5CB01421"/>
    <w:rsid w:val="5D01514B"/>
    <w:rsid w:val="5DBA0782"/>
    <w:rsid w:val="5F2D396D"/>
    <w:rsid w:val="60D04179"/>
    <w:rsid w:val="60E47381"/>
    <w:rsid w:val="61C7729B"/>
    <w:rsid w:val="62641034"/>
    <w:rsid w:val="6374691F"/>
    <w:rsid w:val="63BA7B71"/>
    <w:rsid w:val="63BC0257"/>
    <w:rsid w:val="643B2EFE"/>
    <w:rsid w:val="644665A5"/>
    <w:rsid w:val="64CE267E"/>
    <w:rsid w:val="65005919"/>
    <w:rsid w:val="665A019F"/>
    <w:rsid w:val="6672068F"/>
    <w:rsid w:val="66AD46B9"/>
    <w:rsid w:val="670C6B88"/>
    <w:rsid w:val="67BF44A6"/>
    <w:rsid w:val="67F75096"/>
    <w:rsid w:val="68975621"/>
    <w:rsid w:val="689F61CC"/>
    <w:rsid w:val="68AC5DD9"/>
    <w:rsid w:val="68C926A3"/>
    <w:rsid w:val="692857E0"/>
    <w:rsid w:val="694D538D"/>
    <w:rsid w:val="69935D1A"/>
    <w:rsid w:val="69E70454"/>
    <w:rsid w:val="6A6C5C24"/>
    <w:rsid w:val="6A832AFB"/>
    <w:rsid w:val="6B5E6742"/>
    <w:rsid w:val="6CD40DBF"/>
    <w:rsid w:val="6CFC3CA5"/>
    <w:rsid w:val="6D0D24E0"/>
    <w:rsid w:val="6D4B5988"/>
    <w:rsid w:val="6DA050EC"/>
    <w:rsid w:val="6DFD21E5"/>
    <w:rsid w:val="6E0440FB"/>
    <w:rsid w:val="6ED44ED9"/>
    <w:rsid w:val="70030FCD"/>
    <w:rsid w:val="703B20B6"/>
    <w:rsid w:val="724A1DFC"/>
    <w:rsid w:val="72845AC6"/>
    <w:rsid w:val="72916AD9"/>
    <w:rsid w:val="72F8490A"/>
    <w:rsid w:val="73D239B1"/>
    <w:rsid w:val="73ED08CD"/>
    <w:rsid w:val="73F676A0"/>
    <w:rsid w:val="74120755"/>
    <w:rsid w:val="744A709B"/>
    <w:rsid w:val="745C662B"/>
    <w:rsid w:val="74B308B5"/>
    <w:rsid w:val="75247769"/>
    <w:rsid w:val="753F0E71"/>
    <w:rsid w:val="75577977"/>
    <w:rsid w:val="75645785"/>
    <w:rsid w:val="75716A92"/>
    <w:rsid w:val="758D2516"/>
    <w:rsid w:val="7599235F"/>
    <w:rsid w:val="75AE2AF5"/>
    <w:rsid w:val="75BD7F3E"/>
    <w:rsid w:val="76946EB5"/>
    <w:rsid w:val="7858402F"/>
    <w:rsid w:val="78D50787"/>
    <w:rsid w:val="78EE5436"/>
    <w:rsid w:val="79A720C0"/>
    <w:rsid w:val="79B17807"/>
    <w:rsid w:val="79FE2EB5"/>
    <w:rsid w:val="7AE26EA4"/>
    <w:rsid w:val="7B8F04A8"/>
    <w:rsid w:val="7C95557C"/>
    <w:rsid w:val="7CB969EA"/>
    <w:rsid w:val="7D3A4490"/>
    <w:rsid w:val="7D3F0A9F"/>
    <w:rsid w:val="7DC41D70"/>
    <w:rsid w:val="7EB52644"/>
    <w:rsid w:val="7F034C8E"/>
    <w:rsid w:val="7F45035F"/>
    <w:rsid w:val="7FA01934"/>
    <w:rsid w:val="7FA11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3">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4">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Body Text Indent"/>
    <w:basedOn w:val="1"/>
    <w:autoRedefine/>
    <w:qFormat/>
    <w:uiPriority w:val="0"/>
    <w:pPr>
      <w:spacing w:after="120"/>
      <w:ind w:left="420" w:leftChars="200"/>
    </w:pPr>
  </w:style>
  <w:style w:type="paragraph" w:styleId="9">
    <w:name w:val="Plain Text"/>
    <w:basedOn w:val="1"/>
    <w:autoRedefine/>
    <w:qFormat/>
    <w:uiPriority w:val="0"/>
    <w:rPr>
      <w:rFonts w:ascii="宋体" w:hAnsi="Courier New"/>
      <w:kern w:val="0"/>
      <w:sz w:val="20"/>
    </w:rPr>
  </w:style>
  <w:style w:type="paragraph" w:styleId="10">
    <w:name w:val="Body Text Indent 2"/>
    <w:basedOn w:val="1"/>
    <w:autoRedefine/>
    <w:qFormat/>
    <w:uiPriority w:val="0"/>
    <w:pPr>
      <w:spacing w:line="480" w:lineRule="auto"/>
      <w:ind w:left="420" w:leftChars="200"/>
    </w:pPr>
  </w:style>
  <w:style w:type="paragraph" w:styleId="11">
    <w:name w:val="Balloon Text"/>
    <w:basedOn w:val="1"/>
    <w:link w:val="37"/>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0"/>
    <w:pPr>
      <w:snapToGrid w:val="0"/>
    </w:pPr>
    <w:rPr>
      <w:rFonts w:ascii="Arial" w:hAnsi="Arial"/>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4"/>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7"/>
    <w:autoRedefine/>
    <w:qFormat/>
    <w:uiPriority w:val="0"/>
    <w:pPr>
      <w:ind w:firstLine="420" w:firstLineChars="100"/>
    </w:pPr>
    <w:rPr>
      <w:rFonts w:ascii="Times New Roman" w:hAnsi="Times New Roman"/>
      <w:szCs w:val="20"/>
    </w:rPr>
  </w:style>
  <w:style w:type="paragraph" w:styleId="21">
    <w:name w:val="Body Text First Indent 2"/>
    <w:basedOn w:val="5"/>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9"/>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1"/>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11228</Words>
  <Characters>11736</Characters>
  <Lines>186</Lines>
  <Paragraphs>52</Paragraphs>
  <TotalTime>0</TotalTime>
  <ScaleCrop>false</ScaleCrop>
  <LinksUpToDate>false</LinksUpToDate>
  <CharactersWithSpaces>12192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2023-09-13T16:48:00Z</dcterms:created>
  <dc:creator>Administrator</dc:creator>
  <cp:lastModifiedBy>ㅤ</cp:lastModifiedBy>
  <cp:lastPrinted>2024-08-30T07:08:00Z</cp:lastPrinted>
  <dcterms:modified xsi:type="dcterms:W3CDTF">2025-12-22T00:59:25Z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117FBD630D48493D8237F03B71A220C2_13</vt:lpwstr>
  </property>
  <property fmtid="{D5CDD505-2E9C-101B-9397-08002B2CF9AE}" pid="4" name="KSOTemplateDocerSaveRecord">
    <vt:lpwstr>eyJoZGlkIjoiMzNlMTg1ZmRhMjJhMzI1NTNjZGIzMDVkMDhlZjg2ZmMiLCJ1c2VySWQiOiI2MTM2Nzk1NDkifQ==</vt:lpwstr>
  </property>
</Properties>
</file>