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val="en-US"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72"/>
          <w:szCs w:val="72"/>
          <w:highlight w:val="none"/>
          <w:lang w:val="en-US" w:eastAsia="zh-CN"/>
        </w:rPr>
        <w:t>福州职业技术学院</w:t>
      </w:r>
      <w:r>
        <w:rPr>
          <w:rFonts w:hint="eastAsia" w:ascii="宋体" w:hAnsi="宋体" w:cs="宋体"/>
          <w:b/>
          <w:color w:val="auto"/>
          <w:sz w:val="84"/>
          <w:szCs w:val="84"/>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eastAsia="zh-CN"/>
        </w:rPr>
      </w:pPr>
      <w:r>
        <w:rPr>
          <w:rFonts w:hint="eastAsia" w:ascii="宋体" w:hAnsi="宋体" w:cs="宋体"/>
          <w:b/>
          <w:color w:val="auto"/>
          <w:sz w:val="60"/>
          <w:szCs w:val="60"/>
          <w:highlight w:val="none"/>
          <w:lang w:eastAsia="zh-CN"/>
        </w:rPr>
        <w:t>网上竞价文件</w:t>
      </w:r>
    </w:p>
    <w:p w14:paraId="787704FE">
      <w:pPr>
        <w:pStyle w:val="9"/>
        <w:spacing w:line="0" w:lineRule="atLeast"/>
        <w:rPr>
          <w:rFonts w:hAnsi="宋体"/>
          <w:b/>
          <w:color w:val="auto"/>
          <w:sz w:val="32"/>
          <w:highlight w:val="none"/>
        </w:rPr>
      </w:pPr>
    </w:p>
    <w:p w14:paraId="6CBF94AB">
      <w:pPr>
        <w:pStyle w:val="9"/>
        <w:spacing w:line="0" w:lineRule="atLeast"/>
        <w:jc w:val="center"/>
        <w:rPr>
          <w:rFonts w:hAnsi="宋体"/>
          <w:b/>
          <w:color w:val="auto"/>
          <w:sz w:val="36"/>
          <w:highlight w:val="none"/>
        </w:rPr>
      </w:pPr>
    </w:p>
    <w:p w14:paraId="0DC222AE">
      <w:pPr>
        <w:pStyle w:val="9"/>
        <w:spacing w:line="0" w:lineRule="atLeast"/>
        <w:jc w:val="both"/>
        <w:rPr>
          <w:rFonts w:hAnsi="宋体"/>
          <w:b/>
          <w:color w:val="auto"/>
          <w:sz w:val="36"/>
          <w:highlight w:val="none"/>
        </w:rPr>
      </w:pPr>
    </w:p>
    <w:p w14:paraId="0DD67B47">
      <w:pPr>
        <w:pStyle w:val="9"/>
        <w:spacing w:line="0" w:lineRule="atLeast"/>
        <w:jc w:val="both"/>
        <w:rPr>
          <w:rFonts w:hAnsi="宋体"/>
          <w:b/>
          <w:color w:val="auto"/>
          <w:sz w:val="36"/>
          <w:highlight w:val="none"/>
        </w:rPr>
      </w:pPr>
    </w:p>
    <w:p w14:paraId="7F3ECCF0">
      <w:pPr>
        <w:pStyle w:val="9"/>
        <w:spacing w:line="0" w:lineRule="atLeast"/>
        <w:jc w:val="both"/>
        <w:rPr>
          <w:rFonts w:hAnsi="宋体"/>
          <w:b/>
          <w:color w:val="auto"/>
          <w:sz w:val="36"/>
          <w:highlight w:val="none"/>
        </w:rPr>
      </w:pPr>
    </w:p>
    <w:p w14:paraId="65572771">
      <w:pPr>
        <w:pStyle w:val="9"/>
        <w:spacing w:line="400" w:lineRule="exact"/>
        <w:rPr>
          <w:rFonts w:hAnsi="宋体"/>
          <w:b/>
          <w:color w:val="auto"/>
          <w:sz w:val="36"/>
          <w:highlight w:val="none"/>
        </w:rPr>
      </w:pPr>
    </w:p>
    <w:p w14:paraId="31591C01">
      <w:pPr>
        <w:pStyle w:val="9"/>
        <w:spacing w:line="640" w:lineRule="exact"/>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JJZB-WJ-2025033</w:t>
      </w:r>
    </w:p>
    <w:p w14:paraId="6385ECEA">
      <w:pPr>
        <w:pStyle w:val="9"/>
        <w:spacing w:line="640" w:lineRule="exact"/>
        <w:ind w:left="0" w:leftChars="0" w:firstLine="0" w:firstLineChars="0"/>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福州职业技术学院电梯故障预警与云平台管理系统虚拟仿真实验系统采购项目</w:t>
      </w:r>
    </w:p>
    <w:p w14:paraId="4D39A686">
      <w:pPr>
        <w:pStyle w:val="9"/>
        <w:spacing w:line="640" w:lineRule="exact"/>
        <w:jc w:val="center"/>
        <w:rPr>
          <w:rFonts w:hAnsi="宋体"/>
          <w:b/>
          <w:color w:val="auto"/>
          <w:sz w:val="32"/>
          <w:szCs w:val="32"/>
          <w:highlight w:val="none"/>
        </w:rPr>
      </w:pPr>
      <w:r>
        <w:rPr>
          <w:rFonts w:hint="eastAsia" w:hAnsi="宋体"/>
          <w:b/>
          <w:color w:val="auto"/>
          <w:sz w:val="32"/>
          <w:szCs w:val="32"/>
          <w:highlight w:val="none"/>
        </w:rPr>
        <w:t>采购人：福州职业技术学院</w:t>
      </w:r>
    </w:p>
    <w:p w14:paraId="139BD949">
      <w:pPr>
        <w:pStyle w:val="4"/>
        <w:jc w:val="both"/>
        <w:rPr>
          <w:rFonts w:hint="default"/>
          <w:color w:val="auto"/>
          <w:sz w:val="48"/>
          <w:highlight w:val="none"/>
        </w:rPr>
      </w:pPr>
    </w:p>
    <w:p w14:paraId="1B8719EF">
      <w:pPr>
        <w:rPr>
          <w:rFonts w:hint="default"/>
          <w:color w:val="auto"/>
          <w:sz w:val="48"/>
          <w:highlight w:val="none"/>
        </w:rPr>
      </w:pPr>
    </w:p>
    <w:p w14:paraId="02773D9C">
      <w:pPr>
        <w:rPr>
          <w:rFonts w:hint="default"/>
          <w:color w:val="auto"/>
          <w:sz w:val="48"/>
          <w:highlight w:val="none"/>
        </w:rPr>
      </w:pPr>
    </w:p>
    <w:p w14:paraId="6280ACD9">
      <w:pPr>
        <w:rPr>
          <w:rFonts w:hint="default"/>
        </w:rPr>
      </w:pPr>
    </w:p>
    <w:p w14:paraId="0D6CB01F">
      <w:pPr>
        <w:rPr>
          <w:rFonts w:hint="default"/>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十二</w:t>
      </w:r>
      <w:r>
        <w:rPr>
          <w:rFonts w:hint="eastAsia" w:ascii="宋体" w:hAnsi="宋体"/>
          <w:b/>
          <w:color w:val="auto"/>
          <w:sz w:val="32"/>
          <w:szCs w:val="32"/>
          <w:highlight w:val="none"/>
        </w:rPr>
        <w:t>月</w:t>
      </w:r>
    </w:p>
    <w:p w14:paraId="4E4F36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56702EE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3F8EC9C4">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福州职业技术学院</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福州职业技术学院电梯故障预警与云平台管理系统虚拟仿真实验系统采购项目</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JJZB-WJ-2025033</w:t>
      </w:r>
    </w:p>
    <w:p w14:paraId="436DF575">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cs="宋体"/>
          <w:b/>
          <w:bCs/>
          <w:color w:val="auto"/>
          <w:kern w:val="0"/>
          <w:sz w:val="24"/>
          <w:highlight w:val="none"/>
          <w:u w:val="single"/>
          <w:lang w:val="en-US"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福州职业技术学院电梯故障预警与云平台管理系统虚拟仿真实验系统采购项目</w:t>
      </w:r>
    </w:p>
    <w:p w14:paraId="494DC9FF">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w:t>
      </w:r>
      <w:r>
        <w:rPr>
          <w:rFonts w:hint="eastAsia" w:ascii="宋体" w:hAnsi="宋体" w:cs="宋体"/>
          <w:b/>
          <w:color w:val="auto"/>
          <w:sz w:val="24"/>
          <w:highlight w:val="none"/>
          <w:lang w:val="en-US" w:eastAsia="zh-CN"/>
        </w:rPr>
        <w:t>服务</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7"/>
        <w:keepNext w:val="0"/>
        <w:keepLines w:val="0"/>
        <w:pageBreakBefore w:val="0"/>
        <w:kinsoku/>
        <w:overflowPunct/>
        <w:topLinePunct w:val="0"/>
        <w:autoSpaceDE/>
        <w:autoSpaceDN/>
        <w:bidi w:val="0"/>
        <w:adjustRightInd/>
        <w:snapToGrid/>
        <w:spacing w:before="0" w:beforeAutospacing="0" w:after="0" w:afterAutospacing="0" w:line="49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259A5A7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bookmarkStart w:id="0" w:name="_Toc21403"/>
      <w:r>
        <w:rPr>
          <w:rFonts w:hint="eastAsia" w:ascii="宋体" w:hAnsi="宋体" w:eastAsia="宋体" w:cs="宋体"/>
          <w:color w:val="auto"/>
          <w:kern w:val="0"/>
          <w:sz w:val="24"/>
          <w:highlight w:val="none"/>
        </w:rPr>
        <w:t>报名开始时间：2025年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日08:30:00</w:t>
      </w:r>
    </w:p>
    <w:p w14:paraId="6DA07D9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报名截止时间：2025年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日17:00:00</w:t>
      </w:r>
    </w:p>
    <w:p w14:paraId="09FFF179">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网上竞价开始时间：2025年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15</w:t>
      </w:r>
      <w:r>
        <w:rPr>
          <w:rFonts w:hint="eastAsia" w:ascii="宋体" w:hAnsi="宋体" w:eastAsia="宋体" w:cs="宋体"/>
          <w:color w:val="auto"/>
          <w:kern w:val="0"/>
          <w:sz w:val="24"/>
          <w:highlight w:val="none"/>
        </w:rPr>
        <w:t>日09:00:00</w:t>
      </w:r>
    </w:p>
    <w:p w14:paraId="76AEF97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网上竞价截止时间：2025年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15</w:t>
      </w:r>
      <w:r>
        <w:rPr>
          <w:rFonts w:hint="eastAsia" w:ascii="宋体" w:hAnsi="宋体" w:eastAsia="宋体" w:cs="宋体"/>
          <w:color w:val="auto"/>
          <w:kern w:val="0"/>
          <w:sz w:val="24"/>
          <w:highlight w:val="none"/>
        </w:rPr>
        <w:t>日11:00:00</w:t>
      </w:r>
    </w:p>
    <w:p w14:paraId="706DFD3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5.供应商资格要求</w:t>
      </w:r>
    </w:p>
    <w:p w14:paraId="080F61E8">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243721FA">
      <w:pPr>
        <w:pStyle w:val="30"/>
        <w:keepNext w:val="0"/>
        <w:keepLines w:val="0"/>
        <w:pageBreakBefore w:val="0"/>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widowControl w:val="0"/>
        <w:kinsoku/>
        <w:wordWrap/>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58076705">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⑤特定资格要求</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无</w:t>
      </w:r>
      <w:r>
        <w:rPr>
          <w:rFonts w:hint="eastAsia" w:ascii="宋体" w:hAnsi="宋体" w:eastAsia="宋体" w:cs="宋体"/>
          <w:b w:val="0"/>
          <w:bCs w:val="0"/>
          <w:sz w:val="24"/>
          <w:highlight w:val="none"/>
          <w:lang w:val="en-US" w:eastAsia="zh-CN"/>
        </w:rPr>
        <w:t>。</w:t>
      </w:r>
    </w:p>
    <w:p w14:paraId="0F2CF48F">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90" w:lineRule="exact"/>
        <w:ind w:left="0" w:firstLine="480" w:firstLineChars="200"/>
        <w:jc w:val="left"/>
        <w:textAlignment w:val="auto"/>
        <w:rPr>
          <w:rStyle w:val="31"/>
          <w:rFonts w:hint="eastAsia" w:ascii="宋体" w:hAnsi="宋体" w:eastAsia="宋体" w:cs="宋体"/>
          <w:color w:val="auto"/>
          <w:highlight w:val="none"/>
        </w:rPr>
      </w:pPr>
      <w:r>
        <w:rPr>
          <w:rStyle w:val="31"/>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197BD86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900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50F88260">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福州职业技术学院</w:t>
      </w:r>
    </w:p>
    <w:p w14:paraId="3FD48DE2">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址：福州市闽侯上街联榕路8号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p w14:paraId="0591676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highlight w:val="none"/>
          <w:lang w:eastAsia="zh-CN"/>
        </w:rPr>
        <w:t>：林承志 15806033731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 xml:space="preserve"> </w:t>
      </w:r>
    </w:p>
    <w:p w14:paraId="06556C55">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5FC4FF9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工采通电子招投标交易平台，网址：https://easy-prt.com/home；</w:t>
      </w:r>
    </w:p>
    <w:p w14:paraId="0FF0F81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福建省国资</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eastAsia="zh-CN"/>
        </w:rPr>
        <w:t>平台，网址：https://ygcg.fjcqjy.com；</w:t>
      </w:r>
    </w:p>
    <w:p w14:paraId="27255A3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1023C0CC">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1"/>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21"/>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1"/>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31"/>
          <w:rFonts w:ascii="宋体" w:hAnsi="宋体"/>
          <w:b/>
          <w:bCs/>
          <w:color w:val="auto"/>
          <w:kern w:val="0"/>
          <w:sz w:val="24"/>
          <w:highlight w:val="none"/>
        </w:rPr>
      </w:pPr>
      <w:r>
        <w:rPr>
          <w:rStyle w:val="31"/>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1"/>
          <w:rFonts w:ascii="宋体" w:hAnsi="宋体" w:cs="宋体"/>
          <w:color w:val="auto"/>
          <w:kern w:val="0"/>
          <w:sz w:val="24"/>
          <w:highlight w:val="none"/>
        </w:rPr>
      </w:pPr>
      <w:r>
        <w:rPr>
          <w:rStyle w:val="31"/>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1"/>
          <w:rFonts w:hint="eastAsia" w:ascii="宋体" w:hAnsi="宋体" w:cs="宋体"/>
          <w:color w:val="auto"/>
          <w:sz w:val="24"/>
          <w:highlight w:val="none"/>
        </w:rPr>
        <w:t>按本文件第五章“第一部分 资格及技术商务部分”格式制作报名审核文件，并在规定的</w:t>
      </w:r>
      <w:r>
        <w:rPr>
          <w:rStyle w:val="31"/>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1"/>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7"/>
        <w:keepNext w:val="0"/>
        <w:keepLines w:val="0"/>
        <w:pageBreakBefore w:val="0"/>
        <w:shd w:val="clear"/>
        <w:kinsoku/>
        <w:topLinePunct w:val="0"/>
        <w:bidi w:val="0"/>
        <w:spacing w:before="0" w:beforeAutospacing="0" w:after="0" w:afterAutospacing="0" w:line="400" w:lineRule="exact"/>
        <w:ind w:firstLine="480"/>
        <w:rPr>
          <w:rStyle w:val="31"/>
          <w:rFonts w:ascii="Times New Roman" w:hAnsi="Times New Roman" w:cs="Times New Roman"/>
          <w:b/>
          <w:bCs/>
          <w:color w:val="auto"/>
          <w:sz w:val="24"/>
          <w:highlight w:val="none"/>
        </w:rPr>
      </w:pPr>
      <w:r>
        <w:rPr>
          <w:rFonts w:hint="eastAsia"/>
          <w:color w:val="auto"/>
          <w:highlight w:val="none"/>
        </w:rPr>
        <w:t>3.</w:t>
      </w:r>
      <w:r>
        <w:rPr>
          <w:rStyle w:val="31"/>
          <w:rFonts w:hint="eastAsia"/>
          <w:color w:val="auto"/>
          <w:sz w:val="24"/>
          <w:highlight w:val="none"/>
        </w:rPr>
        <w:t>供应商提交的响应文件符合网上竞价文件要求的（即不存在网上竞价文件中规定的无效响应情形的）方可在网上竞价时间内参与竞价</w:t>
      </w:r>
      <w:r>
        <w:rPr>
          <w:rStyle w:val="31"/>
          <w:color w:val="auto"/>
          <w:sz w:val="24"/>
          <w:highlight w:val="none"/>
        </w:rPr>
        <w:t>。</w:t>
      </w:r>
      <w:r>
        <w:rPr>
          <w:rStyle w:val="31"/>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1"/>
          <w:rFonts w:ascii="Times New Roman" w:hAnsi="Times New Roman" w:cs="Times New Roman"/>
          <w:color w:val="auto"/>
          <w:highlight w:val="none"/>
        </w:rPr>
        <w:t>力</w:t>
      </w:r>
      <w:r>
        <w:rPr>
          <w:rStyle w:val="31"/>
          <w:rFonts w:hint="eastAsia" w:ascii="Times New Roman" w:hAnsi="Times New Roman" w:cs="Times New Roman"/>
          <w:color w:val="auto"/>
          <w:sz w:val="24"/>
          <w:highlight w:val="none"/>
        </w:rPr>
        <w:t>。</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Times New Roman" w:hAnsi="Times New Roman" w:cs="Times New Roman"/>
          <w:color w:val="auto"/>
          <w:sz w:val="24"/>
          <w:highlight w:val="none"/>
        </w:rPr>
        <w:t>。</w:t>
      </w:r>
    </w:p>
    <w:p w14:paraId="63751337">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47312A6D">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1"/>
          <w:rFonts w:hint="eastAsia" w:ascii="宋体" w:hAnsi="宋体"/>
          <w:b/>
          <w:bCs/>
          <w:color w:val="auto"/>
          <w:kern w:val="0"/>
          <w:sz w:val="24"/>
          <w:highlight w:val="none"/>
        </w:rPr>
        <w:t>三、网上</w:t>
      </w:r>
      <w:r>
        <w:rPr>
          <w:rStyle w:val="31"/>
          <w:rFonts w:ascii="宋体" w:hAnsi="宋体"/>
          <w:b/>
          <w:bCs/>
          <w:color w:val="auto"/>
          <w:kern w:val="0"/>
          <w:sz w:val="24"/>
          <w:highlight w:val="none"/>
        </w:rPr>
        <w:t>竞价规则</w:t>
      </w:r>
    </w:p>
    <w:p w14:paraId="219E7907">
      <w:pPr>
        <w:pStyle w:val="17"/>
        <w:keepNext w:val="0"/>
        <w:keepLines w:val="0"/>
        <w:pageBreakBefore w:val="0"/>
        <w:kinsoku/>
        <w:topLinePunct w:val="0"/>
        <w:bidi w:val="0"/>
        <w:spacing w:before="0" w:beforeAutospacing="0" w:after="0" w:afterAutospacing="0" w:line="400" w:lineRule="exact"/>
        <w:ind w:firstLine="480"/>
        <w:rPr>
          <w:rStyle w:val="31"/>
          <w:rFonts w:hint="eastAsia" w:ascii="宋体" w:hAnsi="宋体" w:eastAsia="宋体" w:cs="Times New Roman"/>
          <w:b/>
          <w:bCs/>
          <w:color w:val="auto"/>
          <w:kern w:val="0"/>
          <w:sz w:val="24"/>
          <w:highlight w:val="none"/>
        </w:rPr>
      </w:pPr>
      <w:r>
        <w:rPr>
          <w:rFonts w:hint="eastAsia"/>
          <w:color w:val="auto"/>
          <w:highlight w:val="none"/>
        </w:rPr>
        <w:t>1.</w:t>
      </w:r>
      <w:r>
        <w:rPr>
          <w:rStyle w:val="31"/>
          <w:color w:val="auto"/>
          <w:kern w:val="0"/>
          <w:sz w:val="24"/>
          <w:highlight w:val="none"/>
        </w:rPr>
        <w:t>网上竞价的报价时限为</w:t>
      </w:r>
      <w:r>
        <w:rPr>
          <w:rStyle w:val="31"/>
          <w:rFonts w:hint="eastAsia"/>
          <w:color w:val="auto"/>
          <w:kern w:val="0"/>
          <w:sz w:val="24"/>
          <w:highlight w:val="none"/>
        </w:rPr>
        <w:t>网上竞价开始时间起至网上竞价截止时间止，在此期间内</w:t>
      </w:r>
      <w:r>
        <w:rPr>
          <w:rStyle w:val="31"/>
          <w:color w:val="auto"/>
          <w:kern w:val="0"/>
          <w:sz w:val="24"/>
          <w:highlight w:val="none"/>
        </w:rPr>
        <w:t>，报名审核</w:t>
      </w:r>
      <w:r>
        <w:rPr>
          <w:rStyle w:val="31"/>
          <w:rFonts w:hint="eastAsia"/>
          <w:color w:val="auto"/>
          <w:kern w:val="0"/>
          <w:sz w:val="24"/>
          <w:highlight w:val="none"/>
        </w:rPr>
        <w:t>通过</w:t>
      </w:r>
      <w:r>
        <w:rPr>
          <w:rStyle w:val="31"/>
          <w:color w:val="auto"/>
          <w:kern w:val="0"/>
          <w:sz w:val="24"/>
          <w:highlight w:val="none"/>
        </w:rPr>
        <w:t>的</w:t>
      </w:r>
      <w:r>
        <w:rPr>
          <w:rStyle w:val="31"/>
          <w:rFonts w:hint="eastAsia"/>
          <w:color w:val="auto"/>
          <w:kern w:val="0"/>
          <w:sz w:val="24"/>
          <w:highlight w:val="none"/>
        </w:rPr>
        <w:t>供应商</w:t>
      </w:r>
      <w:r>
        <w:rPr>
          <w:rStyle w:val="31"/>
          <w:color w:val="auto"/>
          <w:kern w:val="0"/>
          <w:sz w:val="24"/>
          <w:highlight w:val="none"/>
        </w:rPr>
        <w:t>可通过</w:t>
      </w:r>
      <w:r>
        <w:rPr>
          <w:rStyle w:val="31"/>
          <w:rFonts w:hint="eastAsia"/>
          <w:color w:val="auto"/>
          <w:kern w:val="0"/>
          <w:sz w:val="24"/>
          <w:highlight w:val="none"/>
        </w:rPr>
        <w:t>网上竞价平台</w:t>
      </w:r>
      <w:r>
        <w:rPr>
          <w:rStyle w:val="31"/>
          <w:color w:val="auto"/>
          <w:kern w:val="0"/>
          <w:sz w:val="24"/>
          <w:highlight w:val="none"/>
        </w:rPr>
        <w:t>参与</w:t>
      </w:r>
      <w:r>
        <w:rPr>
          <w:rStyle w:val="31"/>
          <w:rFonts w:hint="eastAsia"/>
          <w:color w:val="auto"/>
          <w:kern w:val="0"/>
          <w:sz w:val="24"/>
          <w:highlight w:val="none"/>
        </w:rPr>
        <w:t>网上</w:t>
      </w:r>
      <w:r>
        <w:rPr>
          <w:rStyle w:val="31"/>
          <w:color w:val="auto"/>
          <w:kern w:val="0"/>
          <w:sz w:val="24"/>
          <w:highlight w:val="none"/>
        </w:rPr>
        <w:t>竞价（不限报价次数，在规定时间内提交报价均可）。</w:t>
      </w:r>
      <w:r>
        <w:rPr>
          <w:rStyle w:val="31"/>
          <w:rFonts w:hint="eastAsia" w:ascii="宋体" w:hAnsi="宋体" w:eastAsia="宋体" w:cs="Times New Roman"/>
          <w:b/>
          <w:bCs/>
          <w:color w:val="auto"/>
          <w:kern w:val="0"/>
          <w:sz w:val="24"/>
          <w:highlight w:val="none"/>
        </w:rPr>
        <w:t>至网上竞价截止时间止，</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0" w:firstLineChars="200"/>
        <w:jc w:val="left"/>
        <w:textAlignment w:val="baseline"/>
        <w:rPr>
          <w:rStyle w:val="31"/>
          <w:rFonts w:ascii="宋体" w:hAnsi="宋体"/>
          <w:color w:val="auto"/>
          <w:kern w:val="0"/>
          <w:sz w:val="24"/>
          <w:highlight w:val="none"/>
        </w:rPr>
      </w:pPr>
      <w:r>
        <w:rPr>
          <w:rStyle w:val="31"/>
          <w:rFonts w:hint="eastAsia" w:ascii="宋体" w:hAnsi="宋体"/>
          <w:b w:val="0"/>
          <w:bCs w:val="0"/>
          <w:color w:val="auto"/>
          <w:kern w:val="0"/>
          <w:sz w:val="24"/>
          <w:highlight w:val="none"/>
        </w:rPr>
        <w:t>2.</w:t>
      </w:r>
      <w:r>
        <w:rPr>
          <w:rStyle w:val="31"/>
          <w:rFonts w:hint="eastAsia" w:ascii="宋体" w:hAnsi="宋体"/>
          <w:b/>
          <w:bCs/>
          <w:color w:val="auto"/>
          <w:kern w:val="0"/>
          <w:sz w:val="24"/>
          <w:highlight w:val="none"/>
        </w:rPr>
        <w:t>供应商</w:t>
      </w:r>
      <w:r>
        <w:rPr>
          <w:rStyle w:val="31"/>
          <w:rFonts w:ascii="宋体" w:hAnsi="宋体"/>
          <w:b/>
          <w:bCs/>
          <w:color w:val="auto"/>
          <w:kern w:val="0"/>
          <w:sz w:val="24"/>
          <w:highlight w:val="none"/>
        </w:rPr>
        <w:t>首次提交的报价</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须</w:t>
      </w:r>
      <w:r>
        <w:rPr>
          <w:rStyle w:val="31"/>
          <w:rFonts w:hint="eastAsia" w:ascii="宋体" w:hAnsi="宋体"/>
          <w:b/>
          <w:bCs/>
          <w:color w:val="auto"/>
          <w:kern w:val="0"/>
          <w:sz w:val="24"/>
          <w:highlight w:val="none"/>
        </w:rPr>
        <w:t>低于</w:t>
      </w:r>
      <w:r>
        <w:rPr>
          <w:rStyle w:val="31"/>
          <w:rFonts w:ascii="宋体" w:hAnsi="宋体"/>
          <w:b/>
          <w:bCs/>
          <w:color w:val="auto"/>
          <w:kern w:val="0"/>
          <w:sz w:val="24"/>
          <w:highlight w:val="none"/>
        </w:rPr>
        <w:t>本项目</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最高限价</w:t>
      </w:r>
      <w:r>
        <w:rPr>
          <w:rStyle w:val="31"/>
          <w:rFonts w:hint="eastAsia" w:ascii="宋体" w:hAnsi="宋体"/>
          <w:b/>
          <w:bCs/>
          <w:color w:val="auto"/>
          <w:kern w:val="0"/>
          <w:sz w:val="24"/>
          <w:highlight w:val="none"/>
        </w:rPr>
        <w:t>的</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以上（不含</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w:t>
      </w:r>
      <w:r>
        <w:rPr>
          <w:rStyle w:val="31"/>
          <w:rFonts w:ascii="宋体" w:hAnsi="宋体"/>
          <w:b/>
          <w:bCs/>
          <w:color w:val="auto"/>
          <w:kern w:val="0"/>
          <w:sz w:val="24"/>
          <w:highlight w:val="none"/>
        </w:rPr>
        <w:t>，否则</w:t>
      </w:r>
      <w:r>
        <w:rPr>
          <w:rStyle w:val="31"/>
          <w:rFonts w:ascii="宋体" w:hAnsi="宋体" w:cs="宋体"/>
          <w:b/>
          <w:bCs/>
          <w:color w:val="auto"/>
          <w:kern w:val="0"/>
          <w:sz w:val="24"/>
          <w:highlight w:val="none"/>
        </w:rPr>
        <w:t>视为无效报价</w:t>
      </w:r>
      <w:r>
        <w:rPr>
          <w:rStyle w:val="31"/>
          <w:rFonts w:ascii="宋体" w:hAnsi="宋体"/>
          <w:b/>
          <w:bCs/>
          <w:color w:val="auto"/>
          <w:kern w:val="0"/>
          <w:sz w:val="24"/>
          <w:highlight w:val="none"/>
        </w:rPr>
        <w:t>。</w:t>
      </w:r>
      <w:r>
        <w:rPr>
          <w:rStyle w:val="31"/>
          <w:rFonts w:ascii="宋体" w:hAnsi="宋体"/>
          <w:color w:val="auto"/>
          <w:kern w:val="0"/>
          <w:sz w:val="24"/>
          <w:highlight w:val="none"/>
        </w:rPr>
        <w:t>在</w:t>
      </w:r>
      <w:r>
        <w:rPr>
          <w:rStyle w:val="31"/>
          <w:rFonts w:hint="eastAsia" w:ascii="宋体" w:hAnsi="宋体"/>
          <w:color w:val="auto"/>
          <w:kern w:val="0"/>
          <w:sz w:val="24"/>
          <w:highlight w:val="none"/>
        </w:rPr>
        <w:t>网上竞价时间</w:t>
      </w:r>
      <w:r>
        <w:rPr>
          <w:rStyle w:val="31"/>
          <w:rFonts w:ascii="宋体" w:hAnsi="宋体"/>
          <w:color w:val="auto"/>
          <w:kern w:val="0"/>
          <w:sz w:val="24"/>
          <w:highlight w:val="none"/>
        </w:rPr>
        <w:t>内</w:t>
      </w:r>
      <w:r>
        <w:rPr>
          <w:rStyle w:val="31"/>
          <w:rFonts w:hint="eastAsia" w:ascii="宋体" w:hAnsi="宋体"/>
          <w:color w:val="auto"/>
          <w:kern w:val="0"/>
          <w:sz w:val="24"/>
          <w:highlight w:val="none"/>
        </w:rPr>
        <w:t>、同一供应商有</w:t>
      </w:r>
      <w:r>
        <w:rPr>
          <w:rStyle w:val="31"/>
          <w:rFonts w:ascii="宋体" w:hAnsi="宋体"/>
          <w:color w:val="auto"/>
          <w:kern w:val="0"/>
          <w:sz w:val="24"/>
          <w:highlight w:val="none"/>
        </w:rPr>
        <w:t>多次报价的</w:t>
      </w:r>
      <w:r>
        <w:rPr>
          <w:rStyle w:val="31"/>
          <w:rFonts w:hint="eastAsia" w:ascii="宋体" w:hAnsi="宋体"/>
          <w:color w:val="auto"/>
          <w:kern w:val="0"/>
          <w:sz w:val="24"/>
          <w:highlight w:val="none"/>
        </w:rPr>
        <w:t>情况下</w:t>
      </w:r>
      <w:r>
        <w:rPr>
          <w:rStyle w:val="31"/>
          <w:rFonts w:ascii="宋体" w:hAnsi="宋体"/>
          <w:color w:val="auto"/>
          <w:kern w:val="0"/>
          <w:sz w:val="24"/>
          <w:highlight w:val="none"/>
        </w:rPr>
        <w:t>，</w:t>
      </w:r>
      <w:r>
        <w:rPr>
          <w:rStyle w:val="31"/>
          <w:rFonts w:hint="eastAsia" w:ascii="宋体" w:hAnsi="宋体"/>
          <w:color w:val="auto"/>
          <w:kern w:val="0"/>
          <w:sz w:val="24"/>
          <w:highlight w:val="none"/>
        </w:rPr>
        <w:t>则该供应商的每一次</w:t>
      </w:r>
      <w:r>
        <w:rPr>
          <w:rStyle w:val="31"/>
          <w:rFonts w:ascii="宋体" w:hAnsi="宋体"/>
          <w:color w:val="auto"/>
          <w:kern w:val="0"/>
          <w:sz w:val="24"/>
          <w:highlight w:val="none"/>
        </w:rPr>
        <w:t>报价金额必须小于自己上一次的报价金额，</w:t>
      </w:r>
      <w:r>
        <w:rPr>
          <w:rStyle w:val="31"/>
          <w:rFonts w:hint="eastAsia" w:ascii="宋体" w:hAnsi="宋体"/>
          <w:color w:val="auto"/>
          <w:kern w:val="0"/>
          <w:sz w:val="24"/>
          <w:highlight w:val="none"/>
        </w:rPr>
        <w:t>同时以该供应商</w:t>
      </w:r>
      <w:r>
        <w:rPr>
          <w:rStyle w:val="31"/>
          <w:rFonts w:ascii="宋体" w:hAnsi="宋体"/>
          <w:color w:val="auto"/>
          <w:kern w:val="0"/>
          <w:sz w:val="24"/>
          <w:highlight w:val="none"/>
        </w:rPr>
        <w:t>提交的最后一次报价作为</w:t>
      </w:r>
      <w:r>
        <w:rPr>
          <w:rStyle w:val="31"/>
          <w:rFonts w:hint="eastAsia" w:ascii="宋体" w:hAnsi="宋体"/>
          <w:color w:val="auto"/>
          <w:kern w:val="0"/>
          <w:sz w:val="24"/>
          <w:highlight w:val="none"/>
        </w:rPr>
        <w:t>其最终有效报价</w:t>
      </w:r>
      <w:r>
        <w:rPr>
          <w:rStyle w:val="31"/>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31"/>
          <w:rFonts w:hint="eastAsia" w:ascii="宋体" w:hAnsi="宋体"/>
          <w:color w:val="auto"/>
          <w:kern w:val="0"/>
          <w:sz w:val="24"/>
          <w:highlight w:val="none"/>
        </w:rPr>
      </w:pPr>
      <w:r>
        <w:rPr>
          <w:rFonts w:hint="eastAsia" w:ascii="宋体" w:hAnsi="宋体" w:cs="宋体"/>
          <w:color w:val="auto"/>
          <w:sz w:val="24"/>
          <w:highlight w:val="none"/>
        </w:rPr>
        <w:t>1.</w:t>
      </w:r>
      <w:r>
        <w:rPr>
          <w:rStyle w:val="31"/>
          <w:rFonts w:hint="eastAsia" w:ascii="宋体" w:hAnsi="宋体"/>
          <w:color w:val="auto"/>
          <w:kern w:val="0"/>
          <w:sz w:val="24"/>
          <w:highlight w:val="none"/>
        </w:rPr>
        <w:t>供应商</w:t>
      </w:r>
      <w:r>
        <w:rPr>
          <w:rStyle w:val="31"/>
          <w:rFonts w:ascii="宋体" w:hAnsi="宋体"/>
          <w:color w:val="auto"/>
          <w:kern w:val="0"/>
          <w:sz w:val="24"/>
          <w:highlight w:val="none"/>
        </w:rPr>
        <w:t>在</w:t>
      </w:r>
      <w:r>
        <w:rPr>
          <w:rStyle w:val="31"/>
          <w:rFonts w:hint="eastAsia" w:ascii="宋体" w:hAnsi="宋体"/>
          <w:color w:val="auto"/>
          <w:kern w:val="0"/>
          <w:sz w:val="24"/>
          <w:highlight w:val="none"/>
        </w:rPr>
        <w:t>完全满足网上竞价文件要求</w:t>
      </w:r>
      <w:r>
        <w:rPr>
          <w:rStyle w:val="31"/>
          <w:rFonts w:ascii="宋体" w:hAnsi="宋体"/>
          <w:color w:val="auto"/>
          <w:kern w:val="0"/>
          <w:sz w:val="24"/>
          <w:highlight w:val="none"/>
        </w:rPr>
        <w:t>且报价有效的前提下，</w:t>
      </w:r>
      <w:r>
        <w:rPr>
          <w:rStyle w:val="31"/>
          <w:rFonts w:hint="eastAsia" w:ascii="宋体" w:hAnsi="宋体"/>
          <w:color w:val="auto"/>
          <w:kern w:val="0"/>
          <w:sz w:val="24"/>
          <w:highlight w:val="none"/>
        </w:rPr>
        <w:t>最终有效报价</w:t>
      </w:r>
      <w:r>
        <w:rPr>
          <w:rStyle w:val="31"/>
          <w:rFonts w:ascii="宋体" w:hAnsi="宋体"/>
          <w:color w:val="auto"/>
          <w:kern w:val="0"/>
          <w:sz w:val="24"/>
          <w:highlight w:val="none"/>
        </w:rPr>
        <w:t>最低者</w:t>
      </w:r>
      <w:r>
        <w:rPr>
          <w:rStyle w:val="31"/>
          <w:rFonts w:hint="eastAsia" w:ascii="宋体" w:hAnsi="宋体"/>
          <w:color w:val="auto"/>
          <w:kern w:val="0"/>
          <w:sz w:val="24"/>
          <w:highlight w:val="none"/>
        </w:rPr>
        <w:t>为</w:t>
      </w:r>
      <w:r>
        <w:rPr>
          <w:rStyle w:val="31"/>
          <w:rFonts w:ascii="宋体" w:hAnsi="宋体"/>
          <w:color w:val="auto"/>
          <w:kern w:val="0"/>
          <w:sz w:val="24"/>
          <w:highlight w:val="none"/>
        </w:rPr>
        <w:t>成交</w:t>
      </w:r>
      <w:r>
        <w:rPr>
          <w:rStyle w:val="31"/>
          <w:rFonts w:hint="eastAsia" w:ascii="宋体" w:hAnsi="宋体"/>
          <w:color w:val="auto"/>
          <w:kern w:val="0"/>
          <w:sz w:val="24"/>
          <w:highlight w:val="none"/>
        </w:rPr>
        <w:t>候选人</w:t>
      </w:r>
      <w:r>
        <w:rPr>
          <w:rStyle w:val="31"/>
          <w:rFonts w:ascii="宋体" w:hAnsi="宋体"/>
          <w:color w:val="auto"/>
          <w:kern w:val="0"/>
          <w:sz w:val="24"/>
          <w:highlight w:val="none"/>
        </w:rPr>
        <w:t>，若</w:t>
      </w:r>
      <w:r>
        <w:rPr>
          <w:rStyle w:val="31"/>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9"/>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31"/>
          <w:rFonts w:hint="eastAsia" w:ascii="宋体" w:hAnsi="宋体" w:eastAsia="宋体" w:cs="Times New Roman"/>
          <w:b/>
          <w:bCs/>
          <w:color w:val="auto"/>
          <w:kern w:val="0"/>
          <w:sz w:val="24"/>
          <w:highlight w:val="none"/>
        </w:rPr>
      </w:pPr>
      <w:r>
        <w:rPr>
          <w:rStyle w:val="31"/>
          <w:rFonts w:hint="eastAsia" w:ascii="宋体" w:hAnsi="宋体" w:eastAsia="宋体" w:cs="Times New Roman"/>
          <w:b/>
          <w:bCs/>
          <w:color w:val="auto"/>
          <w:kern w:val="0"/>
          <w:sz w:val="24"/>
          <w:highlight w:val="none"/>
          <w:lang w:val="en-US" w:eastAsia="zh-CN"/>
        </w:rPr>
        <w:t>注：</w:t>
      </w:r>
      <w:r>
        <w:rPr>
          <w:rStyle w:val="31"/>
          <w:rFonts w:hint="eastAsia" w:ascii="宋体" w:hAnsi="宋体" w:cs="Times New Roman"/>
          <w:b/>
          <w:bCs/>
          <w:color w:val="auto"/>
          <w:kern w:val="0"/>
          <w:sz w:val="24"/>
          <w:highlight w:val="none"/>
          <w:lang w:val="en-US" w:eastAsia="zh-CN"/>
        </w:rPr>
        <w:t>供应商在竞价系统中提交报价时须上传《报价一览表》</w:t>
      </w:r>
      <w:r>
        <w:rPr>
          <w:rStyle w:val="31"/>
          <w:rFonts w:hint="eastAsia" w:hAnsi="宋体" w:cs="Times New Roman"/>
          <w:b/>
          <w:bCs/>
          <w:color w:val="auto"/>
          <w:kern w:val="0"/>
          <w:sz w:val="24"/>
          <w:highlight w:val="none"/>
          <w:lang w:val="en-US" w:eastAsia="zh-CN"/>
        </w:rPr>
        <w:t>，</w:t>
      </w:r>
      <w:r>
        <w:rPr>
          <w:rStyle w:val="31"/>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542C2187">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val="0"/>
        <w:kinsoku w:val="0"/>
        <w:wordWrap/>
        <w:overflowPunct w:val="0"/>
        <w:topLinePunct w:val="0"/>
        <w:autoSpaceDE/>
        <w:autoSpaceDN/>
        <w:bidi w:val="0"/>
        <w:adjustRightInd/>
        <w:snapToGrid/>
        <w:spacing w:line="40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4832CA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1"/>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1"/>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1.除因不可抗力或网上竞价文件认可的情形以外，成交供应商不与采购人签订合同或不能履约的；</w:t>
      </w:r>
    </w:p>
    <w:p w14:paraId="201A7E4F">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2.成交供应商自动放弃成交资格的；</w:t>
      </w:r>
    </w:p>
    <w:p w14:paraId="39FAF5FC">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3.供应商假借以他人名义参加竞价或者弄虚作假，骗取成交；</w:t>
      </w:r>
    </w:p>
    <w:p w14:paraId="5D3973BB">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4.国家法律法规以及网上竞价文件中规定的其他竞价保证金不予退还的情形。</w:t>
      </w:r>
    </w:p>
    <w:p w14:paraId="5A9018D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八、有下列情形之一的，视为竞价人相互串通竞价:</w:t>
      </w:r>
    </w:p>
    <w:p w14:paraId="659DCE9C">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1.不同竞价人的证明材料由同一单位或者个人编制；</w:t>
      </w:r>
    </w:p>
    <w:p w14:paraId="5902D587">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2.不同竞价人委托同一单位或者个人办理竞价事宜；</w:t>
      </w:r>
    </w:p>
    <w:p w14:paraId="3866396B">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3.不同竞价人的证明材料载明的项目管理成员为同一人。</w:t>
      </w:r>
    </w:p>
    <w:p w14:paraId="731BBEB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九、参与本项投标的竞价人若属于以下规定的关联企业情形的，不得同时参与本项目投标，否则互为关联企业的竞价人投标均无效。情形如下：</w:t>
      </w:r>
    </w:p>
    <w:p w14:paraId="5B4FB6B5">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1.一方直接或者间接持有另一方的股份总和达到25%以上；双方直接或者间接同为第三方所持有的股份达到25%以上。</w:t>
      </w:r>
    </w:p>
    <w:p w14:paraId="137AE189">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2.一方董事、监事或者高级管理人员(包括上市公司董事会秘书、经理、副经理、财务负责人和公司章程规定的其他人员)同时担任另一方的董事、监事或者高级管理人员。</w:t>
      </w:r>
    </w:p>
    <w:p w14:paraId="0F0F8052">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400" w:lineRule="exact"/>
        <w:outlineLvl w:val="1"/>
        <w:rPr>
          <w:rFonts w:ascii="宋体" w:hAnsi="宋体" w:cs="宋体"/>
          <w:b/>
          <w:color w:val="auto"/>
          <w:sz w:val="24"/>
          <w:szCs w:val="24"/>
          <w:highlight w:val="none"/>
        </w:rPr>
      </w:pPr>
      <w:bookmarkStart w:id="1" w:name="_Toc359317661"/>
      <w:bookmarkStart w:id="2" w:name="_Toc358016816"/>
      <w:bookmarkStart w:id="3" w:name="_Toc347060296"/>
      <w:bookmarkStart w:id="4" w:name="_Toc330567034"/>
      <w:bookmarkStart w:id="5" w:name="_Toc346300367"/>
      <w:bookmarkStart w:id="6" w:name="_Toc327948617"/>
      <w:r>
        <w:rPr>
          <w:rFonts w:hint="eastAsia" w:ascii="宋体" w:hAnsi="宋体" w:cs="宋体"/>
          <w:b/>
          <w:color w:val="auto"/>
          <w:sz w:val="24"/>
          <w:szCs w:val="24"/>
          <w:highlight w:val="none"/>
        </w:rPr>
        <w:t>一、项目概述</w:t>
      </w:r>
      <w:bookmarkEnd w:id="1"/>
      <w:bookmarkEnd w:id="2"/>
    </w:p>
    <w:p w14:paraId="401C1468">
      <w:pPr>
        <w:pStyle w:val="33"/>
        <w:keepNext w:val="0"/>
        <w:keepLines w:val="0"/>
        <w:pageBreakBefore w:val="0"/>
        <w:kinsoku/>
        <w:wordWrap/>
        <w:overflowPunct/>
        <w:topLinePunct w:val="0"/>
        <w:autoSpaceDE/>
        <w:autoSpaceDN/>
        <w:bidi w:val="0"/>
        <w:adjustRightInd/>
        <w:snapToGrid/>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keepNext w:val="0"/>
        <w:keepLines w:val="0"/>
        <w:pageBreakBefore w:val="0"/>
        <w:kinsoku/>
        <w:wordWrap/>
        <w:overflowPunct/>
        <w:topLinePunct w:val="0"/>
        <w:autoSpaceDE/>
        <w:autoSpaceDN/>
        <w:bidi w:val="0"/>
        <w:adjustRightInd/>
        <w:snapToGrid/>
        <w:spacing w:line="400" w:lineRule="exact"/>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2"/>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767"/>
        <w:gridCol w:w="2236"/>
        <w:gridCol w:w="927"/>
        <w:gridCol w:w="1787"/>
        <w:gridCol w:w="1790"/>
        <w:gridCol w:w="1293"/>
      </w:tblGrid>
      <w:tr w14:paraId="2365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lang w:val="en-US" w:eastAsia="zh-CN"/>
              </w:rPr>
              <w:t>服务名称</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33C86F9B">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数量</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交付时间</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服务要求</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0DAA141B">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最高限价</w:t>
            </w:r>
          </w:p>
        </w:tc>
      </w:tr>
      <w:tr w14:paraId="4F7D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2236" w:type="dxa"/>
            <w:tcBorders>
              <w:top w:val="single" w:color="auto" w:sz="4" w:space="0"/>
              <w:left w:val="single" w:color="auto" w:sz="4" w:space="0"/>
              <w:bottom w:val="single" w:color="auto" w:sz="4" w:space="0"/>
              <w:right w:val="single" w:color="auto" w:sz="4" w:space="0"/>
            </w:tcBorders>
            <w:noWrap w:val="0"/>
            <w:vAlign w:val="center"/>
          </w:tcPr>
          <w:p w14:paraId="52E444C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default" w:ascii="宋体" w:hAnsi="宋体" w:eastAsia="宋体" w:cs="新宋体"/>
                <w:b w:val="0"/>
                <w:bCs w:val="0"/>
                <w:color w:val="auto"/>
                <w:kern w:val="0"/>
                <w:sz w:val="24"/>
                <w:szCs w:val="24"/>
                <w:highlight w:val="none"/>
                <w:lang w:val="en-US" w:eastAsia="zh-CN"/>
              </w:rPr>
              <w:t>电梯故障预警与云平台管理系统虚拟仿真实验系统</w:t>
            </w:r>
          </w:p>
        </w:tc>
        <w:tc>
          <w:tcPr>
            <w:tcW w:w="927" w:type="dxa"/>
            <w:tcBorders>
              <w:top w:val="single" w:color="auto" w:sz="4" w:space="0"/>
              <w:left w:val="single" w:color="auto" w:sz="4" w:space="0"/>
              <w:bottom w:val="single" w:color="auto" w:sz="4" w:space="0"/>
              <w:right w:val="single" w:color="auto" w:sz="4" w:space="0"/>
            </w:tcBorders>
            <w:noWrap w:val="0"/>
            <w:vAlign w:val="center"/>
          </w:tcPr>
          <w:p w14:paraId="1F39143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1套</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0000FF"/>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自签订合同之日起20日内交付完成</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详见“第三章 网上竞价内容及要求二、技术和服务要求”</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7F2EA07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90000.00</w:t>
            </w:r>
          </w:p>
        </w:tc>
      </w:tr>
    </w:tbl>
    <w:p w14:paraId="494F6A1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3483353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highlight w:val="none"/>
          <w:lang w:val="en-US" w:eastAsia="zh-CN" w:bidi="ar-SA"/>
        </w:rPr>
        <w:t>供应商投标单价不得超过单价最高限价，投标总价不得超过总价最高限价，否则报价无效。</w:t>
      </w:r>
    </w:p>
    <w:p w14:paraId="3E4145C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供应商报价应包含本次项目所涉及到的所有费用，包括</w:t>
      </w:r>
      <w:r>
        <w:rPr>
          <w:rFonts w:hint="eastAsia" w:ascii="宋体" w:hAnsi="宋体" w:cs="宋体"/>
          <w:color w:val="auto"/>
          <w:kern w:val="0"/>
          <w:sz w:val="24"/>
          <w:szCs w:val="24"/>
          <w:highlight w:val="none"/>
          <w:lang w:val="en-US" w:eastAsia="zh-CN" w:bidi="ar-SA"/>
        </w:rPr>
        <w:t>但不限于</w:t>
      </w:r>
      <w:r>
        <w:rPr>
          <w:rFonts w:hint="eastAsia" w:ascii="宋体" w:hAnsi="宋体" w:eastAsia="宋体" w:cs="宋体"/>
          <w:color w:val="auto"/>
          <w:kern w:val="0"/>
          <w:sz w:val="24"/>
          <w:szCs w:val="24"/>
          <w:highlight w:val="none"/>
          <w:lang w:val="en-US" w:eastAsia="zh-CN" w:bidi="ar-SA"/>
        </w:rPr>
        <w:t>：系统研发费、</w:t>
      </w:r>
      <w:r>
        <w:rPr>
          <w:rFonts w:hint="eastAsia" w:ascii="宋体" w:hAnsi="宋体" w:cs="宋体"/>
          <w:color w:val="auto"/>
          <w:kern w:val="0"/>
          <w:sz w:val="24"/>
          <w:szCs w:val="24"/>
          <w:highlight w:val="none"/>
          <w:lang w:val="en-US" w:eastAsia="zh-CN" w:bidi="ar-SA"/>
        </w:rPr>
        <w:t>安装调试费、培训</w:t>
      </w:r>
      <w:r>
        <w:rPr>
          <w:rFonts w:hint="eastAsia" w:ascii="宋体" w:hAnsi="宋体" w:eastAsia="宋体" w:cs="宋体"/>
          <w:color w:val="auto"/>
          <w:kern w:val="0"/>
          <w:sz w:val="24"/>
          <w:szCs w:val="24"/>
          <w:highlight w:val="none"/>
          <w:lang w:val="en-US" w:eastAsia="zh-CN" w:bidi="ar-SA"/>
        </w:rPr>
        <w:t>费、系统维护费、税费</w:t>
      </w:r>
      <w:r>
        <w:rPr>
          <w:rFonts w:hint="eastAsia" w:ascii="宋体" w:hAnsi="宋体" w:cs="宋体"/>
          <w:color w:val="auto"/>
          <w:kern w:val="0"/>
          <w:sz w:val="24"/>
          <w:szCs w:val="24"/>
          <w:highlight w:val="none"/>
          <w:lang w:val="en-US" w:eastAsia="zh-CN" w:bidi="ar-SA"/>
        </w:rPr>
        <w:t>等</w:t>
      </w:r>
      <w:r>
        <w:rPr>
          <w:rFonts w:hint="eastAsia" w:ascii="宋体" w:hAnsi="宋体" w:eastAsia="宋体" w:cs="宋体"/>
          <w:color w:val="auto"/>
          <w:kern w:val="0"/>
          <w:sz w:val="24"/>
          <w:szCs w:val="24"/>
          <w:highlight w:val="none"/>
          <w:lang w:val="en-US" w:eastAsia="zh-CN" w:bidi="ar-SA"/>
        </w:rPr>
        <w:t>。</w:t>
      </w:r>
    </w:p>
    <w:p w14:paraId="442EA31C">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2BC62A51">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制作电梯故障预警与云平台管理系统虚拟仿真实验的登录界面，支持账号登录及角色权限区分，包含账号密码验证、角色选择及“忘记密码”功能模块。</w:t>
      </w:r>
    </w:p>
    <w:p w14:paraId="164DD5A6">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在原系统架构基础上，将虚拟仿真实验内容拆分为三个核心模块，按顺序分别为：</w:t>
      </w:r>
    </w:p>
    <w:p w14:paraId="3EC38BFA">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模块1：电梯运行数据采集实验（传感器选型与部署、数据采集校准、异常数据模拟）；</w:t>
      </w:r>
    </w:p>
    <w:p w14:paraId="393DCBFF">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模块2：云端数据处理与分析实验（Kafka消息队列配置、TDengine时序数据存储、Redis缓存优化）；</w:t>
      </w:r>
    </w:p>
    <w:p w14:paraId="1713A2C6">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模块3：故障预警与应急调度实验（预警模型参数调整、维保工单生成、应急响应流程模拟）；</w:t>
      </w:r>
    </w:p>
    <w:p w14:paraId="52A060D4">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每个模块关键步骤需添加可交互知识点（如振动传感器部署位置对数据精度的影响），并支持模块流程拖拽优化调整。</w:t>
      </w:r>
    </w:p>
    <w:p w14:paraId="2C58A6CB">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制作</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系统架构虚拟搭建实验模块</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，支持用户通过拖拽操作搭建</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前端（Vue3+UniApp）-后端（Spring Cloud微服务）-数据库（TDengine+MySQL+Neo4j）”的连接关系，验证架构合理性（如微服务节点通信是否通畅）。</w:t>
      </w:r>
    </w:p>
    <w:p w14:paraId="088D8A3C">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在虚拟仿真软件中模拟“电梯数据采集配置”功能：点击“设备管理”界面，选择振动传感器（量程±5g，精度±0.01g）、平层精度传感器（误差≤±5mm）、门开关状态传感器（响应时间≤10ms）等设备，设置采样频率（1-100Hz可调），并观察参数变化对数据采集的影响（如高频采样导致数据量激增）。</w:t>
      </w:r>
    </w:p>
    <w:p w14:paraId="73ED1F4D">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制作“云端数据传输实验”：点击“消息队列配置”按钮，选择Kafka集群节点（模拟35001887407052500288测试节点），设置消息吞吐量（1000-5000条/秒），观察不同负载下的传输延迟（正常≤50ms）及数据丢包率（目标≤0.1%）。</w:t>
      </w:r>
    </w:p>
    <w:p w14:paraId="08A09B8C">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模拟“故障预警模型训练流程”：在云平台界面加载电梯历史故障数据集（含振动异常、门机故障等10类故障样本），输入实时振动幅值（如3.5g）、平层误差（如8mm），点击“模型预测”按钮，观察系统自动输出的故障类型（如“门机卡顿”）、预警等级（1-5级）及发生概率（%），支持手动调整特征参数权重（如振动权重提升20%）并重新预测。</w:t>
      </w:r>
    </w:p>
    <w:p w14:paraId="2677E462">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制作“应急调度流程实验”：设置电梯困人故障场景（模拟轿厢停层偏差1.2m），触发预警后，虚拟平台自动生成维保工单（含故障位置、故障描述、历史维保记录），用户需在“调度中心”界面选择维保单位（模拟聚合智达/第三方公司）、派单优先级（紧急/常规），操作结果计入实验评分（如应急响应时间是否≤30分钟）。</w:t>
      </w:r>
    </w:p>
    <w:p w14:paraId="2A3E5074">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8</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支持“故障数据对比分析实验”：在云平台“数据分析”模块中，导入正常运行数据与故障数据（如轴承磨损前后的振动频谱图），通过命令行生成对比图表，计算RMSD值（均方根偏差）分析数据差异度。</w:t>
      </w:r>
    </w:p>
    <w:p w14:paraId="740C26C5">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9</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制作“维保管理联动实验模块”，模拟云平台与维保APP（UniApp前端）的联动操作：在虚拟APP中接收工单，上传现场故障照片（如门机变形图像），填写维修记录（更换部件、调试参数），同步至云平台形成闭环管理，支持维保质量评分（用户端评价）。</w:t>
      </w:r>
    </w:p>
    <w:p w14:paraId="111AE868">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10</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在虚拟仿真软件中点击“3D可视化”按钮，打开电梯轿厢运行状态3D模型（基于Three.js渲染），支持旋转、放大观察关键部件（如曳引机、导轨）的实时数据（温度、振动位移），点击部件可显示历史故障记录（如“曳引机2025.09振动超标3次”）。</w:t>
      </w:r>
    </w:p>
    <w:p w14:paraId="1D2A27B2">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模拟“预测性维护参数设置”功能：上传电梯累计运行时长（如10000小时）、关键部件寿命数据（如轴承设计寿命5000小时），系统通过Neo4j知识图谱关联历史故障案例，输出维护建议（如“建议1个月内更换轴承”），用户需根据建议调整维护周期并观察故障率变化（目标降低30%）。</w:t>
      </w:r>
    </w:p>
    <w:p w14:paraId="545366B3">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12</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制作“系统容错性测试实验”：打开“故障注入”界面，选择“数据库宕机”“传感器离线”“网络中断”等8类故障场景，触发后观察系统自动切换备用方案（如TDengine故障时切换MySQL临时存储），记录故障恢复时长（目标≤5分钟）。</w:t>
      </w:r>
    </w:p>
    <w:p w14:paraId="222C7287">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cs="宋体"/>
          <w:b w:val="0"/>
          <w:bCs/>
          <w:color w:val="auto"/>
          <w:sz w:val="24"/>
          <w:szCs w:val="24"/>
          <w:highlight w:val="none"/>
          <w:lang w:val="en-US" w:eastAsia="zh-CN"/>
        </w:rPr>
        <w:t>3</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支持“多场景适应性实验”：切换虚拟场景（住宅电梯/商用电梯/医用电梯），观察不同场景下的传感器配置差异（如医用电梯需增加空气洁净度传感器）、预警阈值调整（医用电梯平层精度要求≤±2mm）及维保响应优先级（医用电梯紧急度最高）。</w:t>
      </w:r>
    </w:p>
    <w:p w14:paraId="1F5C8B2F">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cs="宋体"/>
          <w:b w:val="0"/>
          <w:bCs/>
          <w:color w:val="auto"/>
          <w:sz w:val="24"/>
          <w:szCs w:val="24"/>
          <w:highlight w:val="none"/>
          <w:lang w:val="en-US" w:eastAsia="zh-CN"/>
        </w:rPr>
        <w:t>4</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制作“设计性实验模块”：用户自定义实验目标（如“将电梯门机故障预警准确率提升至95%”），自主选择特征参数（振动频率、开关门时间）、优化算法（如增加LSTM神经网络层数）、调整训练样本量，系统输出方案可行性报告（含准确率、误报率、计算耗时）。</w:t>
      </w:r>
    </w:p>
    <w:p w14:paraId="48102C03">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制作“微服务架构性能测试实验”：模拟Spring Cloud微服务集群（含预警服务、调度服务、数据存储服务），通过虚拟压测工具设置并发请求量（100-1000用户），观察各服务响应时间（目标≤200ms）、CPU占用率（≤70%），支持服务扩容（增加节点）并对比性能变化。</w:t>
      </w:r>
    </w:p>
    <w:p w14:paraId="19595DBB">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cs="宋体"/>
          <w:b w:val="0"/>
          <w:bCs/>
          <w:color w:val="auto"/>
          <w:sz w:val="24"/>
          <w:szCs w:val="24"/>
          <w:highlight w:val="none"/>
          <w:lang w:val="en-US" w:eastAsia="zh-CN"/>
        </w:rPr>
        <w:t>6</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在“数据存储配置”模块中，提供步骤列表（如“创建TDengine时序数据表→配置Kafka数据写入规则→设置Redis缓存过期时间”），用户需选择正确步骤并排序，完成后生成数据链路测试报告（含数据写入成功率、查询延迟）。</w:t>
      </w:r>
    </w:p>
    <w:p w14:paraId="79BED04C">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cs="宋体"/>
          <w:b w:val="0"/>
          <w:bCs/>
          <w:color w:val="auto"/>
          <w:sz w:val="24"/>
          <w:szCs w:val="24"/>
          <w:highlight w:val="none"/>
          <w:lang w:val="en-US" w:eastAsia="zh-CN"/>
        </w:rPr>
        <w:t>7</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制作“日志审计与安全防护实验”：模拟非法IP尝试登录云平台（如输入错误账号35001887407052500288），触发二级等保要求的防护机制（账号锁定、操作日志记录），用户需通过虚拟防火墙配置IP白名单、设置密码复杂度策略阻止攻击，验证系统安全性。</w:t>
      </w:r>
    </w:p>
    <w:p w14:paraId="34EFF599">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cs="宋体"/>
          <w:b w:val="0"/>
          <w:bCs/>
          <w:color w:val="auto"/>
          <w:sz w:val="24"/>
          <w:szCs w:val="24"/>
          <w:highlight w:val="none"/>
          <w:lang w:val="en-US" w:eastAsia="zh-CN"/>
        </w:rPr>
        <w:t>8</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制作虚拟仿真实验网页首页，包含系统介绍视频（3分钟演示核心功能）、实验流程导览图（数据采集→分析→预警→调度）、最新公告（如“ilab-x平台数据对接完成通知”），并设置“线上交流模块”（故障案例讨论区、常见问题库）。</w:t>
      </w:r>
    </w:p>
    <w:p w14:paraId="61A0FC9B">
      <w:pPr>
        <w:keepNext w:val="0"/>
        <w:keepLines w:val="0"/>
        <w:pageBreakBefore w:val="0"/>
        <w:kinsoku/>
        <w:wordWrap/>
        <w:overflowPunct/>
        <w:topLinePunct w:val="0"/>
        <w:autoSpaceDE/>
        <w:autoSpaceDN/>
        <w:bidi w:val="0"/>
        <w:adjustRightInd/>
        <w:spacing w:line="4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cs="宋体"/>
          <w:b w:val="0"/>
          <w:bCs/>
          <w:color w:val="auto"/>
          <w:sz w:val="24"/>
          <w:szCs w:val="24"/>
          <w:highlight w:val="none"/>
          <w:lang w:val="en-US" w:eastAsia="zh-CN"/>
        </w:rPr>
        <w:t>9</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支持“实验过程回放功能”：记录用户操作轨迹（如传感器参数调整历史、预警模型参数修改记录），可拖动时间轴回溯关键步骤（如“2025.09.26 10:30 触发门机故障预警”），便于教师点评操作规范性。</w:t>
      </w:r>
    </w:p>
    <w:p w14:paraId="017CE7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03D208BA">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w:t>
      </w:r>
      <w:r>
        <w:rPr>
          <w:rFonts w:hint="eastAsia" w:ascii="宋体" w:hAnsi="宋体" w:eastAsia="宋体" w:cs="宋体"/>
          <w:b/>
          <w:bCs/>
          <w:color w:val="auto"/>
          <w:kern w:val="0"/>
          <w:sz w:val="24"/>
          <w:szCs w:val="24"/>
          <w:highlight w:val="none"/>
        </w:rPr>
        <w:t>地点：</w:t>
      </w:r>
      <w:r>
        <w:rPr>
          <w:rFonts w:hint="eastAsia" w:ascii="宋体" w:hAnsi="宋体" w:cs="宋体"/>
          <w:sz w:val="24"/>
          <w:szCs w:val="24"/>
        </w:rPr>
        <w:t>福州职业技术学院</w:t>
      </w:r>
      <w:r>
        <w:rPr>
          <w:rFonts w:hint="eastAsia" w:ascii="宋体" w:hAnsi="宋体" w:cs="宋体"/>
          <w:sz w:val="24"/>
          <w:szCs w:val="24"/>
          <w:lang w:eastAsia="zh-CN"/>
        </w:rPr>
        <w:t>（</w:t>
      </w:r>
      <w:r>
        <w:rPr>
          <w:rFonts w:hint="eastAsia" w:ascii="宋体" w:hAnsi="宋体" w:cs="宋体"/>
          <w:b w:val="0"/>
          <w:bCs w:val="0"/>
          <w:color w:val="auto"/>
          <w:kern w:val="0"/>
          <w:sz w:val="24"/>
          <w:szCs w:val="24"/>
          <w:highlight w:val="none"/>
          <w:lang w:val="en-US" w:eastAsia="zh-CN"/>
        </w:rPr>
        <w:t>采购人指定地点</w:t>
      </w:r>
      <w:r>
        <w:rPr>
          <w:rFonts w:hint="eastAsia" w:ascii="宋体" w:hAnsi="宋体" w:cs="宋体"/>
          <w:sz w:val="24"/>
          <w:szCs w:val="24"/>
          <w:lang w:eastAsia="zh-CN"/>
        </w:rPr>
        <w:t>）</w:t>
      </w:r>
      <w:r>
        <w:rPr>
          <w:rFonts w:hint="eastAsia" w:ascii="宋体" w:hAnsi="宋体" w:eastAsia="宋体" w:cs="宋体"/>
          <w:b w:val="0"/>
          <w:bCs w:val="0"/>
          <w:color w:val="auto"/>
          <w:kern w:val="0"/>
          <w:sz w:val="24"/>
          <w:szCs w:val="24"/>
          <w:highlight w:val="none"/>
        </w:rPr>
        <w:t>。</w:t>
      </w:r>
    </w:p>
    <w:p w14:paraId="6AF46AF8">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eastAsia="zh-CN"/>
        </w:rPr>
        <w:t>、交付时间</w:t>
      </w:r>
      <w:r>
        <w:rPr>
          <w:rFonts w:hint="eastAsia" w:ascii="宋体" w:hAnsi="宋体" w:eastAsia="宋体" w:cs="宋体"/>
          <w:b/>
          <w:bCs/>
          <w:color w:val="auto"/>
          <w:kern w:val="0"/>
          <w:sz w:val="24"/>
          <w:szCs w:val="24"/>
          <w:highlight w:val="none"/>
        </w:rPr>
        <w:t>：</w:t>
      </w:r>
      <w:r>
        <w:rPr>
          <w:rFonts w:hint="eastAsia" w:ascii="宋体" w:hAnsi="宋体"/>
          <w:b w:val="0"/>
          <w:bCs w:val="0"/>
          <w:color w:val="auto"/>
          <w:kern w:val="0"/>
          <w:sz w:val="24"/>
          <w:szCs w:val="24"/>
          <w:highlight w:val="none"/>
          <w:lang w:val="en-US" w:eastAsia="zh-CN"/>
        </w:rPr>
        <w:t>自签订合同之日起20日内交付完成</w:t>
      </w:r>
      <w:r>
        <w:rPr>
          <w:rFonts w:hint="eastAsia" w:ascii="宋体" w:hAnsi="宋体" w:eastAsia="宋体" w:cs="宋体"/>
          <w:b w:val="0"/>
          <w:bCs w:val="0"/>
          <w:color w:val="auto"/>
          <w:kern w:val="0"/>
          <w:sz w:val="24"/>
          <w:szCs w:val="24"/>
          <w:highlight w:val="none"/>
          <w:lang w:val="en-US" w:eastAsia="zh-CN"/>
        </w:rPr>
        <w:t>。</w:t>
      </w:r>
    </w:p>
    <w:p w14:paraId="56FD805B">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交付条件：</w:t>
      </w:r>
      <w:r>
        <w:rPr>
          <w:rFonts w:hint="eastAsia" w:ascii="宋体" w:hAnsi="宋体" w:cs="宋体"/>
          <w:b w:val="0"/>
          <w:bCs w:val="0"/>
          <w:color w:val="auto"/>
          <w:kern w:val="0"/>
          <w:sz w:val="24"/>
          <w:szCs w:val="24"/>
          <w:highlight w:val="none"/>
          <w:lang w:val="en-US" w:eastAsia="zh-CN"/>
        </w:rPr>
        <w:t>经采购人</w:t>
      </w:r>
      <w:r>
        <w:rPr>
          <w:rFonts w:hint="eastAsia" w:ascii="宋体" w:hAnsi="宋体" w:eastAsia="宋体" w:cs="宋体"/>
          <w:b w:val="0"/>
          <w:bCs w:val="0"/>
          <w:color w:val="auto"/>
          <w:kern w:val="0"/>
          <w:sz w:val="24"/>
          <w:szCs w:val="24"/>
          <w:highlight w:val="none"/>
        </w:rPr>
        <w:t>验收合格</w:t>
      </w:r>
      <w:r>
        <w:rPr>
          <w:rFonts w:hint="eastAsia" w:ascii="宋体" w:hAnsi="宋体" w:cs="宋体"/>
          <w:b w:val="0"/>
          <w:bCs w:val="0"/>
          <w:color w:val="auto"/>
          <w:kern w:val="0"/>
          <w:sz w:val="24"/>
          <w:szCs w:val="24"/>
          <w:highlight w:val="none"/>
          <w:lang w:val="en-US" w:eastAsia="zh-CN"/>
        </w:rPr>
        <w:t>并</w:t>
      </w:r>
      <w:r>
        <w:rPr>
          <w:rFonts w:hint="eastAsia" w:ascii="宋体" w:hAnsi="宋体" w:eastAsia="宋体" w:cs="宋体"/>
          <w:b w:val="0"/>
          <w:bCs w:val="0"/>
          <w:color w:val="auto"/>
          <w:kern w:val="0"/>
          <w:sz w:val="24"/>
          <w:szCs w:val="24"/>
          <w:highlight w:val="none"/>
        </w:rPr>
        <w:t>交付使用。</w:t>
      </w:r>
    </w:p>
    <w:p w14:paraId="1A6354C5">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4、是否邀请供应商验收：</w:t>
      </w:r>
      <w:r>
        <w:rPr>
          <w:rFonts w:hint="eastAsia" w:ascii="宋体" w:hAnsi="宋体" w:cs="宋体"/>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验收方式</w:t>
      </w: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按</w:t>
      </w:r>
      <w:r>
        <w:rPr>
          <w:rFonts w:hint="eastAsia" w:ascii="宋体" w:hAnsi="宋体" w:cs="宋体"/>
          <w:b w:val="0"/>
          <w:bCs w:val="0"/>
          <w:color w:val="auto"/>
          <w:kern w:val="0"/>
          <w:sz w:val="24"/>
          <w:szCs w:val="24"/>
          <w:highlight w:val="none"/>
          <w:lang w:val="en-US" w:eastAsia="zh-CN" w:bidi="ar-SA"/>
        </w:rPr>
        <w:t>网上</w:t>
      </w:r>
      <w:r>
        <w:rPr>
          <w:rFonts w:hint="eastAsia" w:ascii="宋体" w:hAnsi="宋体" w:eastAsia="宋体" w:cs="宋体"/>
          <w:b w:val="0"/>
          <w:bCs w:val="0"/>
          <w:color w:val="auto"/>
          <w:kern w:val="0"/>
          <w:sz w:val="24"/>
          <w:szCs w:val="24"/>
          <w:highlight w:val="none"/>
          <w:lang w:val="en-US" w:eastAsia="zh-CN" w:bidi="ar-SA"/>
        </w:rPr>
        <w:t>竞价文件、</w:t>
      </w:r>
      <w:r>
        <w:rPr>
          <w:rFonts w:hint="eastAsia" w:ascii="宋体" w:hAnsi="宋体" w:cs="宋体"/>
          <w:b w:val="0"/>
          <w:bCs w:val="0"/>
          <w:color w:val="auto"/>
          <w:kern w:val="0"/>
          <w:sz w:val="24"/>
          <w:szCs w:val="24"/>
          <w:highlight w:val="none"/>
          <w:lang w:val="en-US" w:eastAsia="zh-CN" w:bidi="ar-SA"/>
        </w:rPr>
        <w:t>成交供应商</w:t>
      </w:r>
      <w:r>
        <w:rPr>
          <w:rFonts w:hint="eastAsia" w:ascii="宋体" w:hAnsi="宋体" w:eastAsia="宋体" w:cs="宋体"/>
          <w:b w:val="0"/>
          <w:bCs w:val="0"/>
          <w:color w:val="auto"/>
          <w:kern w:val="0"/>
          <w:sz w:val="24"/>
          <w:szCs w:val="24"/>
          <w:highlight w:val="none"/>
          <w:lang w:val="en-US" w:eastAsia="zh-CN" w:bidi="ar-SA"/>
        </w:rPr>
        <w:t>响应文件以及国家和行业验收规范要求及合同中的相关条款进行验收</w:t>
      </w:r>
      <w:r>
        <w:rPr>
          <w:rFonts w:hint="eastAsia" w:ascii="宋体" w:hAnsi="宋体" w:cs="宋体"/>
          <w:b w:val="0"/>
          <w:bCs w:val="0"/>
          <w:color w:val="auto"/>
          <w:kern w:val="0"/>
          <w:sz w:val="24"/>
          <w:szCs w:val="24"/>
          <w:highlight w:val="none"/>
          <w:lang w:val="en-US" w:eastAsia="zh-CN" w:bidi="ar-SA"/>
        </w:rPr>
        <w:t>。</w:t>
      </w:r>
    </w:p>
    <w:p w14:paraId="244A4661">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支付方式：</w:t>
      </w:r>
      <w:r>
        <w:rPr>
          <w:rFonts w:hint="eastAsia" w:ascii="宋体" w:hAnsi="宋体" w:eastAsia="宋体" w:cs="宋体"/>
          <w:b w:val="0"/>
          <w:bCs w:val="0"/>
          <w:color w:val="auto"/>
          <w:sz w:val="24"/>
          <w:szCs w:val="24"/>
          <w:highlight w:val="none"/>
        </w:rPr>
        <w:t>经采购人验收合格后，1</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个工作日内</w:t>
      </w:r>
      <w:r>
        <w:rPr>
          <w:rFonts w:hint="eastAsia" w:ascii="宋体" w:hAnsi="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rPr>
        <w:t>凭收讫验收凭证和验收合格文件等材料以转账方式向</w:t>
      </w:r>
      <w:r>
        <w:rPr>
          <w:rFonts w:hint="eastAsia" w:ascii="宋体" w:hAnsi="宋体"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rPr>
        <w:t>供应商一次性支付</w:t>
      </w:r>
      <w:r>
        <w:rPr>
          <w:rFonts w:hint="eastAsia" w:ascii="宋体" w:hAnsi="宋体" w:cs="宋体"/>
          <w:b w:val="0"/>
          <w:bCs w:val="0"/>
          <w:color w:val="auto"/>
          <w:sz w:val="24"/>
          <w:szCs w:val="24"/>
          <w:highlight w:val="none"/>
          <w:lang w:val="en-US" w:eastAsia="zh-CN"/>
        </w:rPr>
        <w:t>100%</w:t>
      </w:r>
      <w:r>
        <w:rPr>
          <w:rFonts w:hint="eastAsia" w:ascii="宋体" w:hAnsi="宋体" w:eastAsia="宋体" w:cs="宋体"/>
          <w:b w:val="0"/>
          <w:bCs w:val="0"/>
          <w:color w:val="auto"/>
          <w:sz w:val="24"/>
          <w:szCs w:val="24"/>
          <w:highlight w:val="none"/>
        </w:rPr>
        <w:t>的</w:t>
      </w:r>
      <w:r>
        <w:rPr>
          <w:rFonts w:hint="eastAsia" w:ascii="宋体" w:hAnsi="宋体" w:cs="宋体"/>
          <w:b w:val="0"/>
          <w:bCs w:val="0"/>
          <w:color w:val="auto"/>
          <w:sz w:val="24"/>
          <w:szCs w:val="24"/>
          <w:highlight w:val="none"/>
          <w:lang w:val="en-US" w:eastAsia="zh-CN"/>
        </w:rPr>
        <w:t>合同</w:t>
      </w:r>
      <w:r>
        <w:rPr>
          <w:rFonts w:hint="eastAsia" w:ascii="宋体" w:hAnsi="宋体" w:eastAsia="宋体" w:cs="宋体"/>
          <w:b w:val="0"/>
          <w:bCs w:val="0"/>
          <w:color w:val="auto"/>
          <w:sz w:val="24"/>
          <w:szCs w:val="24"/>
          <w:highlight w:val="none"/>
        </w:rPr>
        <w:t>价款</w:t>
      </w:r>
      <w:r>
        <w:rPr>
          <w:rFonts w:hint="eastAsia" w:ascii="宋体" w:hAnsi="宋体" w:eastAsia="宋体" w:cs="宋体"/>
          <w:b w:val="0"/>
          <w:bCs w:val="0"/>
          <w:color w:val="auto"/>
          <w:kern w:val="0"/>
          <w:sz w:val="24"/>
          <w:szCs w:val="24"/>
          <w:highlight w:val="none"/>
          <w:lang w:val="en-US" w:eastAsia="zh-CN" w:bidi="ar-SA"/>
        </w:rPr>
        <w:t>。</w:t>
      </w:r>
    </w:p>
    <w:p w14:paraId="18929153">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cs="宋体"/>
          <w:b w:val="0"/>
          <w:bCs w:val="0"/>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7、履约保证金：</w:t>
      </w:r>
      <w:bookmarkEnd w:id="3"/>
      <w:bookmarkEnd w:id="4"/>
      <w:bookmarkEnd w:id="5"/>
      <w:bookmarkEnd w:id="6"/>
      <w:r>
        <w:rPr>
          <w:rFonts w:hint="eastAsia" w:cs="宋体"/>
          <w:b w:val="0"/>
          <w:bCs w:val="0"/>
          <w:color w:val="auto"/>
          <w:kern w:val="0"/>
          <w:sz w:val="24"/>
          <w:szCs w:val="24"/>
          <w:highlight w:val="none"/>
          <w:lang w:val="en-US" w:eastAsia="zh-CN" w:bidi="ar-SA"/>
        </w:rPr>
        <w:t>不缴纳。</w:t>
      </w:r>
    </w:p>
    <w:p w14:paraId="3BFA18B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8、包装和运输：</w:t>
      </w:r>
      <w:bookmarkStart w:id="8" w:name="_GoBack"/>
      <w:bookmarkEnd w:id="8"/>
    </w:p>
    <w:p w14:paraId="0B446E60">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0" w:firstLineChars="200"/>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8.1以实体U盘或硬盘载体并配合网盘等方式交付本次产品</w:t>
      </w:r>
      <w:r>
        <w:rPr>
          <w:rFonts w:hint="eastAsia" w:ascii="宋体" w:hAnsi="宋体" w:eastAsia="宋体" w:cs="宋体"/>
          <w:b w:val="0"/>
          <w:bCs w:val="0"/>
          <w:color w:val="auto"/>
          <w:sz w:val="24"/>
          <w:szCs w:val="24"/>
          <w:highlight w:val="none"/>
        </w:rPr>
        <w:t>，包装方式的确定及包装费用均由</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负责；由于不适当的包装而造成货物在运输过程中有任何损坏、丢失由</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负责。</w:t>
      </w:r>
    </w:p>
    <w:p w14:paraId="65A171B0">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0" w:firstLineChars="200"/>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8.2</w:t>
      </w:r>
      <w:r>
        <w:rPr>
          <w:rFonts w:hint="eastAsia" w:ascii="宋体" w:hAnsi="宋体" w:eastAsia="宋体" w:cs="宋体"/>
          <w:b w:val="0"/>
          <w:bCs w:val="0"/>
          <w:color w:val="auto"/>
          <w:sz w:val="24"/>
          <w:szCs w:val="24"/>
          <w:highlight w:val="none"/>
        </w:rPr>
        <w:t>符合运输要求，保证货物到达目的地时完好，无毁损，包装不回收。在运输过程中造成的产品损失或损坏由</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负担。</w:t>
      </w:r>
    </w:p>
    <w:p w14:paraId="06DEF4E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jc w:val="left"/>
        <w:rPr>
          <w:rFonts w:hint="eastAsia" w:cs="宋体"/>
          <w:b/>
          <w:bCs/>
          <w:kern w:val="2"/>
          <w:sz w:val="24"/>
          <w:szCs w:val="24"/>
          <w:lang w:val="en-US" w:eastAsia="zh-CN" w:bidi="ar-SA"/>
        </w:rPr>
      </w:pPr>
      <w:r>
        <w:rPr>
          <w:rFonts w:hint="eastAsia" w:cs="宋体"/>
          <w:b/>
          <w:bCs/>
          <w:kern w:val="2"/>
          <w:sz w:val="24"/>
          <w:szCs w:val="24"/>
          <w:lang w:val="en-US" w:eastAsia="zh-CN" w:bidi="ar-SA"/>
        </w:rPr>
        <w:t>9、验收要求：</w:t>
      </w:r>
    </w:p>
    <w:p w14:paraId="2EA83260">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采购人</w:t>
      </w:r>
      <w:r>
        <w:rPr>
          <w:rFonts w:hint="eastAsia" w:ascii="宋体" w:hAnsi="宋体"/>
          <w:color w:val="000000" w:themeColor="text1"/>
          <w:sz w:val="24"/>
          <w:lang w:eastAsia="zh-CN"/>
          <w14:textFill>
            <w14:solidFill>
              <w14:schemeClr w14:val="tx1"/>
            </w14:solidFill>
          </w14:textFill>
        </w:rPr>
        <w:t>按照</w:t>
      </w:r>
      <w:r>
        <w:rPr>
          <w:rFonts w:hint="eastAsia" w:ascii="宋体" w:hAnsi="宋体"/>
          <w:color w:val="000000" w:themeColor="text1"/>
          <w:sz w:val="24"/>
          <w:lang w:val="en-US" w:eastAsia="zh-CN"/>
          <w14:textFill>
            <w14:solidFill>
              <w14:schemeClr w14:val="tx1"/>
            </w14:solidFill>
          </w14:textFill>
        </w:rPr>
        <w:t>网上竞价文件</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成交供应商</w:t>
      </w:r>
      <w:r>
        <w:rPr>
          <w:rFonts w:hint="eastAsia" w:ascii="宋体" w:hAnsi="宋体"/>
          <w:color w:val="000000" w:themeColor="text1"/>
          <w:sz w:val="24"/>
          <w:lang w:eastAsia="zh-CN"/>
          <w14:textFill>
            <w14:solidFill>
              <w14:schemeClr w14:val="tx1"/>
            </w14:solidFill>
          </w14:textFill>
        </w:rPr>
        <w:t>的响应文件和本</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lang w:eastAsia="zh-CN"/>
          <w14:textFill>
            <w14:solidFill>
              <w14:schemeClr w14:val="tx1"/>
            </w14:solidFill>
          </w14:textFill>
        </w:rPr>
        <w:t>约定的服务内容及质量要求按次组织对</w:t>
      </w:r>
      <w:r>
        <w:rPr>
          <w:rFonts w:hint="eastAsia" w:ascii="宋体" w:hAnsi="宋体"/>
          <w:color w:val="000000" w:themeColor="text1"/>
          <w:sz w:val="24"/>
          <w:lang w:val="en-US" w:eastAsia="zh-CN"/>
          <w14:textFill>
            <w14:solidFill>
              <w14:schemeClr w14:val="tx1"/>
            </w14:solidFill>
          </w14:textFill>
        </w:rPr>
        <w:t>成交供应商</w:t>
      </w:r>
      <w:r>
        <w:rPr>
          <w:rFonts w:hint="eastAsia" w:ascii="宋体" w:hAnsi="宋体"/>
          <w:color w:val="000000" w:themeColor="text1"/>
          <w:sz w:val="24"/>
          <w:lang w:eastAsia="zh-CN"/>
          <w14:textFill>
            <w14:solidFill>
              <w14:schemeClr w14:val="tx1"/>
            </w14:solidFill>
          </w14:textFill>
        </w:rPr>
        <w:t>所提供服务进行验收，并根据验收结果支付服务费用。具体如下：</w:t>
      </w:r>
    </w:p>
    <w:p w14:paraId="326D6990">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9.1</w:t>
      </w:r>
      <w:r>
        <w:rPr>
          <w:rFonts w:hint="eastAsia" w:ascii="宋体" w:hAnsi="宋体"/>
          <w:color w:val="000000" w:themeColor="text1"/>
          <w:sz w:val="24"/>
          <w:lang w:eastAsia="zh-CN"/>
          <w14:textFill>
            <w14:solidFill>
              <w14:schemeClr w14:val="tx1"/>
            </w14:solidFill>
          </w14:textFill>
        </w:rPr>
        <w:t>按照</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lang w:eastAsia="zh-CN"/>
          <w14:textFill>
            <w14:solidFill>
              <w14:schemeClr w14:val="tx1"/>
            </w14:solidFill>
          </w14:textFill>
        </w:rPr>
        <w:t>约定的服务内容、服务要求和服务效果进行验收。</w:t>
      </w:r>
    </w:p>
    <w:p w14:paraId="75D62691">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9.2采购人</w:t>
      </w:r>
      <w:r>
        <w:rPr>
          <w:rFonts w:hint="eastAsia" w:ascii="宋体" w:hAnsi="宋体"/>
          <w:color w:val="000000" w:themeColor="text1"/>
          <w:sz w:val="24"/>
          <w:lang w:eastAsia="zh-CN"/>
          <w14:textFill>
            <w14:solidFill>
              <w14:schemeClr w14:val="tx1"/>
            </w14:solidFill>
          </w14:textFill>
        </w:rPr>
        <w:t>在收到</w:t>
      </w:r>
      <w:r>
        <w:rPr>
          <w:rFonts w:hint="eastAsia" w:ascii="宋体" w:hAnsi="宋体"/>
          <w:color w:val="000000" w:themeColor="text1"/>
          <w:sz w:val="24"/>
          <w:lang w:val="en-US" w:eastAsia="zh-CN"/>
          <w14:textFill>
            <w14:solidFill>
              <w14:schemeClr w14:val="tx1"/>
            </w14:solidFill>
          </w14:textFill>
        </w:rPr>
        <w:t>成交供应商</w:t>
      </w:r>
      <w:r>
        <w:rPr>
          <w:rFonts w:hint="eastAsia" w:ascii="宋体" w:hAnsi="宋体"/>
          <w:color w:val="000000" w:themeColor="text1"/>
          <w:sz w:val="24"/>
          <w:lang w:eastAsia="zh-CN"/>
          <w14:textFill>
            <w14:solidFill>
              <w14:schemeClr w14:val="tx1"/>
            </w14:solidFill>
          </w14:textFill>
        </w:rPr>
        <w:t>的验收申请后</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lang w:eastAsia="zh-CN"/>
          <w14:textFill>
            <w14:solidFill>
              <w14:schemeClr w14:val="tx1"/>
            </w14:solidFill>
          </w14:textFill>
        </w:rPr>
        <w:t>个工作日内，</w:t>
      </w:r>
      <w:r>
        <w:rPr>
          <w:rFonts w:hint="eastAsia" w:ascii="宋体" w:hAnsi="宋体"/>
          <w:color w:val="000000" w:themeColor="text1"/>
          <w:sz w:val="24"/>
          <w:lang w:val="en-US" w:eastAsia="zh-CN"/>
          <w14:textFill>
            <w14:solidFill>
              <w14:schemeClr w14:val="tx1"/>
            </w14:solidFill>
          </w14:textFill>
        </w:rPr>
        <w:t>成交供应商</w:t>
      </w:r>
      <w:r>
        <w:rPr>
          <w:rFonts w:hint="eastAsia" w:ascii="宋体" w:hAnsi="宋体"/>
          <w:color w:val="000000" w:themeColor="text1"/>
          <w:sz w:val="24"/>
          <w:lang w:eastAsia="zh-CN"/>
          <w14:textFill>
            <w14:solidFill>
              <w14:schemeClr w14:val="tx1"/>
            </w14:solidFill>
          </w14:textFill>
        </w:rPr>
        <w:t>和</w:t>
      </w:r>
      <w:r>
        <w:rPr>
          <w:rFonts w:hint="eastAsia" w:ascii="宋体" w:hAnsi="宋体"/>
          <w:color w:val="000000" w:themeColor="text1"/>
          <w:sz w:val="24"/>
          <w:lang w:val="en-US" w:eastAsia="zh-CN"/>
          <w14:textFill>
            <w14:solidFill>
              <w14:schemeClr w14:val="tx1"/>
            </w14:solidFill>
          </w14:textFill>
        </w:rPr>
        <w:t>采购人</w:t>
      </w:r>
      <w:r>
        <w:rPr>
          <w:rFonts w:hint="eastAsia" w:ascii="宋体" w:hAnsi="宋体"/>
          <w:color w:val="000000" w:themeColor="text1"/>
          <w:sz w:val="24"/>
          <w:lang w:eastAsia="zh-CN"/>
          <w14:textFill>
            <w14:solidFill>
              <w14:schemeClr w14:val="tx1"/>
            </w14:solidFill>
          </w14:textFill>
        </w:rPr>
        <w:t>共同进行验收。</w:t>
      </w:r>
      <w:r>
        <w:rPr>
          <w:rFonts w:hint="eastAsia" w:ascii="宋体" w:hAnsi="宋体"/>
          <w:color w:val="000000" w:themeColor="text1"/>
          <w:sz w:val="24"/>
          <w:lang w:val="en-US" w:eastAsia="zh-CN"/>
          <w14:textFill>
            <w14:solidFill>
              <w14:schemeClr w14:val="tx1"/>
            </w14:solidFill>
          </w14:textFill>
        </w:rPr>
        <w:t>采购人</w:t>
      </w:r>
      <w:r>
        <w:rPr>
          <w:rFonts w:hint="eastAsia" w:ascii="宋体" w:hAnsi="宋体"/>
          <w:color w:val="000000" w:themeColor="text1"/>
          <w:sz w:val="24"/>
          <w:lang w:eastAsia="zh-CN"/>
          <w14:textFill>
            <w14:solidFill>
              <w14:schemeClr w14:val="tx1"/>
            </w14:solidFill>
          </w14:textFill>
        </w:rPr>
        <w:t>将按照采购</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lang w:eastAsia="zh-CN"/>
          <w14:textFill>
            <w14:solidFill>
              <w14:schemeClr w14:val="tx1"/>
            </w14:solidFill>
          </w14:textFill>
        </w:rPr>
        <w:t>规定的技术参数标准和服务要求组织对</w:t>
      </w:r>
      <w:r>
        <w:rPr>
          <w:rFonts w:hint="eastAsia" w:ascii="宋体" w:hAnsi="宋体"/>
          <w:color w:val="000000" w:themeColor="text1"/>
          <w:sz w:val="24"/>
          <w:lang w:val="en-US" w:eastAsia="zh-CN"/>
          <w14:textFill>
            <w14:solidFill>
              <w14:schemeClr w14:val="tx1"/>
            </w14:solidFill>
          </w14:textFill>
        </w:rPr>
        <w:t>成交供应商</w:t>
      </w:r>
      <w:r>
        <w:rPr>
          <w:rFonts w:hint="eastAsia" w:ascii="宋体" w:hAnsi="宋体"/>
          <w:color w:val="000000" w:themeColor="text1"/>
          <w:sz w:val="24"/>
          <w:lang w:eastAsia="zh-CN"/>
          <w14:textFill>
            <w14:solidFill>
              <w14:schemeClr w14:val="tx1"/>
            </w14:solidFill>
          </w14:textFill>
        </w:rPr>
        <w:t>履约情况进行验收。验收结果经双方确认后，双方代表必须按规定的验收单上的项目填好验收结果并签名盖章。</w:t>
      </w:r>
    </w:p>
    <w:p w14:paraId="6A2F92D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jc w:val="left"/>
        <w:rPr>
          <w:rFonts w:hint="eastAsia" w:ascii="宋体" w:hAnsi="宋体" w:eastAsia="宋体" w:cs="宋体"/>
          <w:b/>
          <w:bCs/>
          <w:kern w:val="2"/>
          <w:sz w:val="24"/>
          <w:szCs w:val="24"/>
          <w:lang w:val="en-US" w:eastAsia="zh-CN" w:bidi="ar-SA"/>
        </w:rPr>
      </w:pPr>
      <w:r>
        <w:rPr>
          <w:rFonts w:hint="eastAsia" w:cs="宋体"/>
          <w:b/>
          <w:bCs/>
          <w:kern w:val="2"/>
          <w:sz w:val="24"/>
          <w:szCs w:val="24"/>
          <w:lang w:val="en-US" w:eastAsia="zh-CN" w:bidi="ar-SA"/>
        </w:rPr>
        <w:t>10、</w:t>
      </w:r>
      <w:r>
        <w:rPr>
          <w:rFonts w:hint="eastAsia" w:ascii="宋体" w:hAnsi="宋体" w:eastAsia="宋体" w:cs="宋体"/>
          <w:b/>
          <w:bCs/>
          <w:kern w:val="2"/>
          <w:sz w:val="24"/>
          <w:szCs w:val="24"/>
          <w:lang w:val="en-US" w:eastAsia="zh-CN" w:bidi="ar-SA"/>
        </w:rPr>
        <w:t>售后服务：</w:t>
      </w:r>
    </w:p>
    <w:p w14:paraId="7F8CEBA9">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0" w:firstLineChars="200"/>
        <w:jc w:val="left"/>
        <w:textAlignment w:val="baseline"/>
        <w:rPr>
          <w:rFonts w:hint="eastAsia" w:ascii="宋体" w:hAnsi="宋体" w:eastAsia="宋体" w:cs="宋体"/>
          <w:b w:val="0"/>
          <w:kern w:val="2"/>
          <w:sz w:val="24"/>
          <w:szCs w:val="24"/>
          <w:lang w:val="en-US" w:eastAsia="zh-CN" w:bidi="ar-SA"/>
        </w:rPr>
      </w:pPr>
      <w:r>
        <w:rPr>
          <w:rFonts w:hint="eastAsia" w:ascii="宋体" w:hAnsi="宋体" w:cs="宋体"/>
          <w:b w:val="0"/>
          <w:kern w:val="2"/>
          <w:sz w:val="24"/>
          <w:szCs w:val="24"/>
          <w:lang w:val="en-US" w:eastAsia="zh-CN" w:bidi="ar-SA"/>
        </w:rPr>
        <w:t>本项目免费保修期为1年</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自</w:t>
      </w:r>
      <w:r>
        <w:rPr>
          <w:rFonts w:hint="eastAsia" w:ascii="宋体" w:hAnsi="宋体"/>
          <w:color w:val="000000" w:themeColor="text1"/>
          <w:sz w:val="24"/>
          <w14:textFill>
            <w14:solidFill>
              <w14:schemeClr w14:val="tx1"/>
            </w14:solidFill>
          </w14:textFill>
        </w:rPr>
        <w:t>验收合格之日起算）</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成交</w:t>
      </w:r>
      <w:r>
        <w:rPr>
          <w:rFonts w:hint="eastAsia" w:ascii="宋体" w:hAnsi="宋体"/>
          <w:color w:val="000000" w:themeColor="text1"/>
          <w:sz w:val="24"/>
          <w14:textFill>
            <w14:solidFill>
              <w14:schemeClr w14:val="tx1"/>
            </w14:solidFill>
          </w14:textFill>
        </w:rPr>
        <w:t>供应商在质保期内接到故障通知后24小时内响应，并在24小时内到达现场，免费负责修理</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调试系统平台</w:t>
      </w:r>
      <w:r>
        <w:rPr>
          <w:rFonts w:hint="eastAsia" w:ascii="宋体" w:hAnsi="宋体"/>
          <w:color w:val="000000" w:themeColor="text1"/>
          <w:sz w:val="24"/>
          <w14:textFill>
            <w14:solidFill>
              <w14:schemeClr w14:val="tx1"/>
            </w14:solidFill>
          </w14:textFill>
        </w:rPr>
        <w:t>。质保期外重复出现质保期内出现的故障属免费保修范围。</w:t>
      </w:r>
    </w:p>
    <w:p w14:paraId="705BBC6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jc w:val="left"/>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11、检验与测试：</w:t>
      </w:r>
    </w:p>
    <w:p w14:paraId="7B2B9FB5">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虚拟仿真软件检验与测试结果应满足如下要求：</w:t>
      </w:r>
    </w:p>
    <w:p w14:paraId="03F7EBFE">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11.1‌功能性验收条款‌</w:t>
      </w:r>
    </w:p>
    <w:p w14:paraId="69272E40">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软件需实现网上竞价文件和响应文件约定的全部核心功能，包括但不限于：</w:t>
      </w:r>
    </w:p>
    <w:p w14:paraId="0662C175">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模拟场景的完整性（如物理引擎、交互逻辑、数据反馈）；</w:t>
      </w:r>
    </w:p>
    <w:p w14:paraId="43E03646">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用户界面与操作流程的易用性（符合ISO 9241-210人机交互标准）；</w:t>
      </w:r>
    </w:p>
    <w:p w14:paraId="511F59C7">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多平台兼容性（Windows/Linux系统、主流浏览器）；</w:t>
      </w:r>
    </w:p>
    <w:p w14:paraId="1E53769E">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数据接口的准确性（与外部系统对接的数据传输误差率≤0.1%）；</w:t>
      </w:r>
    </w:p>
    <w:p w14:paraId="46E4D94F">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11.2‌性能与可靠性验收条款‌</w:t>
      </w:r>
    </w:p>
    <w:p w14:paraId="21E72938">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‌并发能力‌：支持≥300用户同时在线操作，响应时间≤2秒（复杂场景≤5秒）；</w:t>
      </w:r>
    </w:p>
    <w:p w14:paraId="13666E14">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‌稳定性‌：连续运行72小时无崩溃或内存泄漏；</w:t>
      </w:r>
    </w:p>
    <w:p w14:paraId="5DA433C4">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‌数据安全‌：符合等保2.0三级要求，加密传输与存储；</w:t>
      </w:r>
    </w:p>
    <w:p w14:paraId="1E3921BB">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11.3‌质量与合规性验收条款‌</w:t>
      </w:r>
    </w:p>
    <w:p w14:paraId="53C49CB0">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代码符合《GB/T 25000.51-2016》软件质量模型；</w:t>
      </w:r>
    </w:p>
    <w:p w14:paraId="6F838F61">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知识产权归属明确（源代码、模型版权归采购人所有）；</w:t>
      </w:r>
    </w:p>
    <w:p w14:paraId="7701422D">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11.4‌验收流程与责任条款‌</w:t>
      </w:r>
    </w:p>
    <w:p w14:paraId="241EBC01">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成交供应商提交验收申请后，采购人需在3个工作日内组织验收；</w:t>
      </w:r>
    </w:p>
    <w:p w14:paraId="0AE3F43D">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验收费用由合同约定方承担（供应商问题导致复验的，费用由供应商承担）；</w:t>
      </w:r>
    </w:p>
    <w:p w14:paraId="6CEB543C">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未通过验收的，供应商需在7个工作日内完成整改并重新验收。</w:t>
      </w:r>
    </w:p>
    <w:p w14:paraId="6952F205">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‌验收方法‌：审查测试报告及知识产权文件，比对合同约定条款。</w:t>
      </w:r>
    </w:p>
    <w:p w14:paraId="20336CD7">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11.5‌文档与培训验收条款‌</w:t>
      </w:r>
    </w:p>
    <w:p w14:paraId="7174D02E">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交付完整技术文档（安装手册、API接口文档、维护指南）；</w:t>
      </w:r>
    </w:p>
    <w:p w14:paraId="109E2013">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提供≥8学时的现场操作培训，通过率≥95%。</w:t>
      </w:r>
    </w:p>
    <w:p w14:paraId="04C247C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jc w:val="left"/>
        <w:rPr>
          <w:rFonts w:hint="eastAsia" w:ascii="宋体" w:hAnsi="宋体" w:eastAsia="宋体" w:cs="宋体"/>
          <w:b/>
          <w:bCs/>
          <w:kern w:val="2"/>
          <w:sz w:val="24"/>
          <w:szCs w:val="24"/>
          <w:lang w:val="en-US" w:eastAsia="zh-CN" w:bidi="ar-SA"/>
        </w:rPr>
      </w:pPr>
      <w:r>
        <w:rPr>
          <w:rFonts w:hint="eastAsia" w:cs="宋体"/>
          <w:b/>
          <w:bCs/>
          <w:kern w:val="2"/>
          <w:sz w:val="24"/>
          <w:szCs w:val="24"/>
          <w:lang w:val="en-US" w:eastAsia="zh-CN" w:bidi="ar-SA"/>
        </w:rPr>
        <w:t>12、</w:t>
      </w:r>
      <w:r>
        <w:rPr>
          <w:rFonts w:hint="eastAsia" w:ascii="宋体" w:hAnsi="宋体" w:eastAsia="宋体" w:cs="宋体"/>
          <w:b/>
          <w:bCs/>
          <w:kern w:val="2"/>
          <w:sz w:val="24"/>
          <w:szCs w:val="24"/>
          <w:lang w:val="en-US" w:eastAsia="zh-CN" w:bidi="ar-SA"/>
        </w:rPr>
        <w:t>知识产权：</w:t>
      </w:r>
    </w:p>
    <w:p w14:paraId="3E33277F">
      <w:pPr>
        <w:keepNext w:val="0"/>
        <w:keepLines w:val="0"/>
        <w:pageBreakBefore w:val="0"/>
        <w:widowControl w:val="0"/>
        <w:tabs>
          <w:tab w:val="left" w:pos="0"/>
        </w:tabs>
        <w:kinsoku/>
        <w:wordWrap/>
        <w:overflowPunct/>
        <w:topLinePunct w:val="0"/>
        <w:autoSpaceDE/>
        <w:autoSpaceDN/>
        <w:bidi w:val="0"/>
        <w:adjustRightInd w:val="0"/>
        <w:snapToGrid/>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12.1</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须保障采购人在使用该</w:t>
      </w:r>
      <w:r>
        <w:rPr>
          <w:rFonts w:hint="eastAsia" w:ascii="宋体" w:hAnsi="宋体"/>
          <w:color w:val="000000" w:themeColor="text1"/>
          <w:sz w:val="24"/>
          <w:lang w:val="en-US" w:eastAsia="zh-CN"/>
          <w14:textFill>
            <w14:solidFill>
              <w14:schemeClr w14:val="tx1"/>
            </w14:solidFill>
          </w14:textFill>
        </w:rPr>
        <w:t>系统</w:t>
      </w:r>
      <w:r>
        <w:rPr>
          <w:rFonts w:hint="eastAsia" w:ascii="宋体" w:hAnsi="宋体"/>
          <w:color w:val="000000" w:themeColor="text1"/>
          <w:sz w:val="24"/>
          <w14:textFill>
            <w14:solidFill>
              <w14:schemeClr w14:val="tx1"/>
            </w14:solidFill>
          </w14:textFill>
        </w:rPr>
        <w:t>或其任何一部分时不受到第三方关于侵犯专利权、商标权或工业设计权等知识产权的指控。如果任何第三方提出侵权指控与采购人无关，</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须与第三方交涉并承担可能发生的责任与一切费用；如采购人因此而遭致损失的，</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应赔偿该损失。</w:t>
      </w:r>
    </w:p>
    <w:p w14:paraId="501514FA">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ascii="黑体" w:hAnsi="黑体" w:eastAsia="黑体" w:cs="黑体"/>
          <w:b/>
          <w:color w:val="000000" w:themeColor="text1"/>
          <w:sz w:val="28"/>
          <w:szCs w:val="28"/>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12.2</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为执行本</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而提供的技术资料、软件，采购人有权进行使用，</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不得主张任何费用。</w:t>
      </w:r>
    </w:p>
    <w:p w14:paraId="7FB1088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13、产权与风险转移：</w:t>
      </w:r>
    </w:p>
    <w:p w14:paraId="5EBD223D">
      <w:pPr>
        <w:keepNext w:val="0"/>
        <w:keepLines w:val="0"/>
        <w:pageBreakBefore w:val="0"/>
        <w:widowControl w:val="0"/>
        <w:tabs>
          <w:tab w:val="left" w:pos="0"/>
        </w:tabs>
        <w:kinsoku/>
        <w:wordWrap/>
        <w:overflowPunct/>
        <w:topLinePunct w:val="0"/>
        <w:autoSpaceDE/>
        <w:autoSpaceDN/>
        <w:bidi w:val="0"/>
        <w:adjustRightInd w:val="0"/>
        <w:snapToGrid/>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的产权与风险转移遵守如下约定：</w:t>
      </w:r>
    </w:p>
    <w:p w14:paraId="79480370">
      <w:pPr>
        <w:keepNext w:val="0"/>
        <w:keepLines w:val="0"/>
        <w:pageBreakBefore w:val="0"/>
        <w:widowControl w:val="0"/>
        <w:tabs>
          <w:tab w:val="left" w:pos="0"/>
        </w:tabs>
        <w:kinsoku/>
        <w:wordWrap/>
        <w:overflowPunct/>
        <w:topLinePunct w:val="0"/>
        <w:autoSpaceDE/>
        <w:autoSpaceDN/>
        <w:bidi w:val="0"/>
        <w:adjustRightInd w:val="0"/>
        <w:snapToGrid/>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13.1系统</w:t>
      </w:r>
      <w:r>
        <w:rPr>
          <w:rFonts w:hint="eastAsia" w:ascii="宋体" w:hAnsi="宋体"/>
          <w:color w:val="000000" w:themeColor="text1"/>
          <w:sz w:val="24"/>
          <w14:textFill>
            <w14:solidFill>
              <w14:schemeClr w14:val="tx1"/>
            </w14:solidFill>
          </w14:textFill>
        </w:rPr>
        <w:t>的产权以及损坏、灭失的风险在</w:t>
      </w:r>
      <w:r>
        <w:rPr>
          <w:rFonts w:hint="eastAsia" w:ascii="宋体" w:hAnsi="宋体"/>
          <w:color w:val="000000" w:themeColor="text1"/>
          <w:sz w:val="24"/>
          <w:lang w:val="en-US" w:eastAsia="zh-CN"/>
          <w14:textFill>
            <w14:solidFill>
              <w14:schemeClr w14:val="tx1"/>
            </w14:solidFill>
          </w14:textFill>
        </w:rPr>
        <w:t>系统</w:t>
      </w:r>
      <w:r>
        <w:rPr>
          <w:rFonts w:hint="eastAsia" w:ascii="宋体" w:hAnsi="宋体"/>
          <w:color w:val="000000" w:themeColor="text1"/>
          <w:sz w:val="24"/>
          <w14:textFill>
            <w14:solidFill>
              <w14:schemeClr w14:val="tx1"/>
            </w14:solidFill>
          </w14:textFill>
        </w:rPr>
        <w:t>通过验收并交付使用前归属于</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，在</w:t>
      </w:r>
      <w:r>
        <w:rPr>
          <w:rFonts w:hint="eastAsia" w:ascii="宋体" w:hAnsi="宋体"/>
          <w:color w:val="000000" w:themeColor="text1"/>
          <w:sz w:val="24"/>
          <w:lang w:val="en-US" w:eastAsia="zh-CN"/>
          <w14:textFill>
            <w14:solidFill>
              <w14:schemeClr w14:val="tx1"/>
            </w14:solidFill>
          </w14:textFill>
        </w:rPr>
        <w:t>系统</w:t>
      </w:r>
      <w:r>
        <w:rPr>
          <w:rFonts w:hint="eastAsia" w:ascii="宋体" w:hAnsi="宋体"/>
          <w:color w:val="000000" w:themeColor="text1"/>
          <w:sz w:val="24"/>
          <w14:textFill>
            <w14:solidFill>
              <w14:schemeClr w14:val="tx1"/>
            </w14:solidFill>
          </w14:textFill>
        </w:rPr>
        <w:t>通过验收并交付使用时起由</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转移至采购人。</w:t>
      </w:r>
    </w:p>
    <w:p w14:paraId="607E986D">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ascii="黑体" w:hAnsi="黑体" w:eastAsia="黑体" w:cs="黑体"/>
          <w:b/>
          <w:color w:val="000000" w:themeColor="text1"/>
          <w:sz w:val="28"/>
          <w:szCs w:val="28"/>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13.2</w:t>
      </w:r>
      <w:r>
        <w:rPr>
          <w:rFonts w:hint="eastAsia" w:ascii="宋体" w:hAnsi="宋体"/>
          <w:color w:val="000000" w:themeColor="text1"/>
          <w:sz w:val="24"/>
          <w14:textFill>
            <w14:solidFill>
              <w14:schemeClr w14:val="tx1"/>
            </w14:solidFill>
          </w14:textFill>
        </w:rPr>
        <w:t>产权和风险的转移，不影响因</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履行义务不符合约定，采购人要求其承担违约责任的权利。</w:t>
      </w:r>
    </w:p>
    <w:p w14:paraId="4270D1B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14、保密：</w:t>
      </w:r>
    </w:p>
    <w:p w14:paraId="1EA66015">
      <w:pPr>
        <w:keepNext w:val="0"/>
        <w:keepLines w:val="0"/>
        <w:pageBreakBefore w:val="0"/>
        <w:widowControl w:val="0"/>
        <w:tabs>
          <w:tab w:val="left" w:pos="0"/>
        </w:tabs>
        <w:kinsoku/>
        <w:wordWrap/>
        <w:overflowPunct/>
        <w:topLinePunct w:val="0"/>
        <w:autoSpaceDE/>
        <w:autoSpaceDN/>
        <w:bidi w:val="0"/>
        <w:adjustRightInd w:val="0"/>
        <w:snapToGrid/>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14.1</w:t>
      </w:r>
      <w:r>
        <w:rPr>
          <w:rFonts w:hint="eastAsia" w:ascii="宋体" w:hAnsi="宋体"/>
          <w:color w:val="000000" w:themeColor="text1"/>
          <w:sz w:val="24"/>
          <w14:textFill>
            <w14:solidFill>
              <w14:schemeClr w14:val="tx1"/>
            </w14:solidFill>
          </w14:textFill>
        </w:rPr>
        <w:t>未经采购人事先书面同意，</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不得将由采购人为本</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提供的条文、规格、计划、资料提供给与本</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无关的任何第三方，不得将其用于履行本</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之外的其它用途。即使向与履行本</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有关的人员提供，也应注意保密并限于履行</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所必需的范围。</w:t>
      </w:r>
    </w:p>
    <w:p w14:paraId="2A8A9749">
      <w:pPr>
        <w:keepNext w:val="0"/>
        <w:keepLines w:val="0"/>
        <w:pageBreakBefore w:val="0"/>
        <w:widowControl w:val="0"/>
        <w:tabs>
          <w:tab w:val="left" w:pos="0"/>
        </w:tabs>
        <w:kinsoku/>
        <w:wordWrap/>
        <w:overflowPunct/>
        <w:topLinePunct w:val="0"/>
        <w:autoSpaceDE/>
        <w:autoSpaceDN/>
        <w:bidi w:val="0"/>
        <w:adjustRightInd w:val="0"/>
        <w:snapToGrid/>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14.2</w:t>
      </w:r>
      <w:r>
        <w:rPr>
          <w:rFonts w:hint="eastAsia" w:ascii="宋体" w:hAnsi="宋体"/>
          <w:color w:val="000000" w:themeColor="text1"/>
          <w:sz w:val="24"/>
          <w14:textFill>
            <w14:solidFill>
              <w14:schemeClr w14:val="tx1"/>
            </w14:solidFill>
          </w14:textFill>
        </w:rPr>
        <w:t>除了</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本身之外，上款所列举的任何物件均是采购人的财产。如果采购人有要求，</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在收到采购人的要求后10日内应将这些物件及全部复制件还给采购人，不得留存任何备份。</w:t>
      </w:r>
    </w:p>
    <w:p w14:paraId="7E77D29F">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ascii="黑体" w:hAnsi="黑体" w:eastAsia="黑体" w:cs="黑体"/>
          <w:b/>
          <w:color w:val="000000" w:themeColor="text1"/>
          <w:sz w:val="28"/>
          <w:szCs w:val="28"/>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14.3</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违反本保密条款的，应支付</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总金额</w:t>
      </w:r>
      <w:r>
        <w:rPr>
          <w:rFonts w:hint="eastAsia" w:ascii="宋体" w:hAnsi="宋体"/>
          <w:color w:val="000000" w:themeColor="text1"/>
          <w:sz w:val="24"/>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%的违约金，并赔偿由此给采购人造成的任何损失。本条款在本</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履行期间至履行结束后均有效。</w:t>
      </w:r>
    </w:p>
    <w:p w14:paraId="049DA6F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15、违约责任：</w:t>
      </w:r>
    </w:p>
    <w:p w14:paraId="6A2B0D53">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除不可抗力因素外，如果</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不能按照</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规定的时间交付和提供服务，应及时以书面形式将逾期的事实、可能逾期的时间和原因通知采购人。采购人收到</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通知后，将尽快作出评价，决定是否同意延长交货期及收取逾期赔偿费，逾期赔偿费的金额为采购人所遭受的所有损失。采购人在不影响</w:t>
      </w:r>
      <w:r>
        <w:rPr>
          <w:rFonts w:hint="eastAsia" w:ascii="宋体" w:hAnsi="宋体"/>
          <w:color w:val="000000" w:themeColor="text1"/>
          <w:sz w:val="24"/>
          <w:lang w:val="en-US" w:eastAsia="zh-CN"/>
          <w14:textFill>
            <w14:solidFill>
              <w14:schemeClr w14:val="tx1"/>
            </w14:solidFill>
          </w14:textFill>
        </w:rPr>
        <w:t>项目要求</w:t>
      </w:r>
      <w:r>
        <w:rPr>
          <w:rFonts w:hint="eastAsia" w:ascii="宋体" w:hAnsi="宋体"/>
          <w:color w:val="000000" w:themeColor="text1"/>
          <w:sz w:val="24"/>
          <w14:textFill>
            <w14:solidFill>
              <w14:schemeClr w14:val="tx1"/>
            </w14:solidFill>
          </w14:textFill>
        </w:rPr>
        <w:t>的其它补救措施情况下，可从</w:t>
      </w:r>
      <w:r>
        <w:rPr>
          <w:rFonts w:hint="eastAsia" w:ascii="宋体" w:hAnsi="宋体"/>
          <w:color w:val="000000" w:themeColor="text1"/>
          <w:sz w:val="24"/>
          <w:lang w:val="en-US"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未付款中扣除逾期违约金，违约金按未交付货物价款的</w:t>
      </w:r>
      <w:r>
        <w:rPr>
          <w:rFonts w:hint="eastAsia" w:ascii="宋体" w:hAnsi="宋体"/>
          <w:color w:val="000000" w:themeColor="text1"/>
          <w:sz w:val="24"/>
          <w:u w:val="none"/>
          <w14:textFill>
            <w14:solidFill>
              <w14:schemeClr w14:val="tx1"/>
            </w14:solidFill>
          </w14:textFill>
        </w:rPr>
        <w:t xml:space="preserve"> 2％/</w:t>
      </w:r>
      <w:r>
        <w:rPr>
          <w:rFonts w:hint="eastAsia" w:ascii="宋体" w:hAnsi="宋体"/>
          <w:color w:val="000000" w:themeColor="text1"/>
          <w:sz w:val="24"/>
          <w:u w:val="none"/>
          <w:lang w:eastAsia="zh-CN"/>
          <w14:textFill>
            <w14:solidFill>
              <w14:schemeClr w14:val="tx1"/>
            </w14:solidFill>
          </w14:textFill>
        </w:rPr>
        <w:t>日</w:t>
      </w:r>
      <w:r>
        <w:rPr>
          <w:rFonts w:hint="eastAsia" w:ascii="宋体" w:hAnsi="宋体"/>
          <w:color w:val="000000" w:themeColor="text1"/>
          <w:sz w:val="24"/>
          <w14:textFill>
            <w14:solidFill>
              <w14:schemeClr w14:val="tx1"/>
            </w14:solidFill>
          </w14:textFill>
        </w:rPr>
        <w:t>计算，逾期期限一旦达到</w:t>
      </w:r>
      <w:r>
        <w:rPr>
          <w:rFonts w:hint="eastAsia" w:ascii="宋体" w:hAnsi="宋体"/>
          <w:color w:val="000000" w:themeColor="text1"/>
          <w:sz w:val="24"/>
          <w:u w:val="none"/>
          <w14:textFill>
            <w14:solidFill>
              <w14:schemeClr w14:val="tx1"/>
            </w14:solidFill>
          </w14:textFill>
        </w:rPr>
        <w:t xml:space="preserve"> 30</w:t>
      </w:r>
      <w:r>
        <w:rPr>
          <w:rFonts w:hint="eastAsia" w:ascii="宋体" w:hAnsi="宋体"/>
          <w:color w:val="000000" w:themeColor="text1"/>
          <w:sz w:val="24"/>
          <w:lang w:eastAsia="zh-CN"/>
          <w14:textFill>
            <w14:solidFill>
              <w14:schemeClr w14:val="tx1"/>
            </w14:solidFill>
          </w14:textFill>
        </w:rPr>
        <w:t>日</w:t>
      </w:r>
      <w:r>
        <w:rPr>
          <w:rFonts w:hint="eastAsia" w:ascii="宋体" w:hAnsi="宋体"/>
          <w:color w:val="000000" w:themeColor="text1"/>
          <w:sz w:val="24"/>
          <w14:textFill>
            <w14:solidFill>
              <w14:schemeClr w14:val="tx1"/>
            </w14:solidFill>
          </w14:textFill>
        </w:rPr>
        <w:t>，采购人有权</w:t>
      </w:r>
      <w:r>
        <w:rPr>
          <w:rFonts w:hint="eastAsia" w:ascii="宋体" w:hAnsi="宋体"/>
          <w:color w:val="000000" w:themeColor="text1"/>
          <w:sz w:val="24"/>
          <w:lang w:val="en-US" w:eastAsia="zh-CN"/>
          <w14:textFill>
            <w14:solidFill>
              <w14:schemeClr w14:val="tx1"/>
            </w14:solidFill>
          </w14:textFill>
        </w:rPr>
        <w:t>作废项目</w:t>
      </w:r>
      <w:r>
        <w:rPr>
          <w:rFonts w:hint="eastAsia" w:ascii="宋体" w:hAnsi="宋体"/>
          <w:color w:val="000000" w:themeColor="text1"/>
          <w:sz w:val="24"/>
          <w14:textFill>
            <w14:solidFill>
              <w14:schemeClr w14:val="tx1"/>
            </w14:solidFill>
          </w14:textFill>
        </w:rPr>
        <w:t>，且</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仍应按约定支付违约金。违约金的支付不影响采购人向</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要求损害赔偿。</w:t>
      </w:r>
    </w:p>
    <w:p w14:paraId="5C2113A0">
      <w:pPr>
        <w:keepNext w:val="0"/>
        <w:keepLines w:val="0"/>
        <w:pageBreakBefore w:val="0"/>
        <w:widowControl w:val="0"/>
        <w:numPr>
          <w:ilvl w:val="0"/>
          <w:numId w:val="0"/>
        </w:numPr>
        <w:tabs>
          <w:tab w:val="left" w:pos="900"/>
          <w:tab w:val="left" w:pos="1100"/>
        </w:tabs>
        <w:kinsoku/>
        <w:wordWrap/>
        <w:overflowPunct/>
        <w:topLinePunct w:val="0"/>
        <w:autoSpaceDE/>
        <w:autoSpaceDN/>
        <w:bidi w:val="0"/>
        <w:snapToGrid/>
        <w:spacing w:line="400" w:lineRule="exact"/>
        <w:ind w:firstLine="472" w:firstLineChars="196"/>
        <w:rPr>
          <w:rFonts w:hint="eastAsia" w:ascii="宋体" w:hAnsi="宋体"/>
          <w:b/>
          <w:bCs/>
          <w:color w:val="000000" w:themeColor="text1"/>
          <w:sz w:val="24"/>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t>16、</w:t>
      </w:r>
      <w:r>
        <w:rPr>
          <w:rFonts w:hint="eastAsia" w:ascii="宋体" w:hAnsi="宋体"/>
          <w:b/>
          <w:bCs/>
          <w:color w:val="000000" w:themeColor="text1"/>
          <w:sz w:val="24"/>
          <w:lang w:val="en-US" w:eastAsia="zh-CN"/>
          <w14:textFill>
            <w14:solidFill>
              <w14:schemeClr w14:val="tx1"/>
            </w14:solidFill>
          </w14:textFill>
        </w:rPr>
        <w:t>纠纷处理方式：</w:t>
      </w:r>
    </w:p>
    <w:p w14:paraId="4D75D702">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16.1</w:t>
      </w:r>
      <w:r>
        <w:rPr>
          <w:rFonts w:hint="default" w:ascii="宋体" w:hAnsi="宋体" w:eastAsia="宋体" w:cs="宋体"/>
          <w:b w:val="0"/>
          <w:bCs w:val="0"/>
          <w:sz w:val="24"/>
          <w:szCs w:val="24"/>
          <w:lang w:val="en-US" w:eastAsia="zh-CN"/>
        </w:rPr>
        <w:t>双方协商解决。</w:t>
      </w:r>
    </w:p>
    <w:p w14:paraId="6F584785">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16.2</w:t>
      </w:r>
      <w:r>
        <w:rPr>
          <w:rFonts w:hint="default" w:ascii="宋体" w:hAnsi="宋体" w:eastAsia="宋体" w:cs="宋体"/>
          <w:b w:val="0"/>
          <w:bCs w:val="0"/>
          <w:sz w:val="24"/>
          <w:szCs w:val="24"/>
          <w:lang w:val="en-US" w:eastAsia="zh-CN"/>
        </w:rPr>
        <w:t>若协商解决不成，则通过下列途径解决：向人民法院提起诉讼。具体如下：向采</w:t>
      </w:r>
    </w:p>
    <w:p w14:paraId="6A4B1801">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hint="default" w:ascii="宋体" w:hAnsi="宋体"/>
          <w:b/>
          <w:bCs/>
          <w:color w:val="000000" w:themeColor="text1"/>
          <w:sz w:val="24"/>
          <w:lang w:val="en-US" w:eastAsia="zh-CN"/>
          <w14:textFill>
            <w14:solidFill>
              <w14:schemeClr w14:val="tx1"/>
            </w14:solidFill>
          </w14:textFill>
        </w:rPr>
      </w:pPr>
      <w:r>
        <w:rPr>
          <w:rFonts w:hint="default" w:ascii="宋体" w:hAnsi="宋体" w:eastAsia="宋体" w:cs="宋体"/>
          <w:b w:val="0"/>
          <w:bCs w:val="0"/>
          <w:sz w:val="24"/>
          <w:szCs w:val="24"/>
          <w:lang w:val="en-US" w:eastAsia="zh-CN"/>
        </w:rPr>
        <w:t>购方住所地人民法院提起。</w:t>
      </w:r>
    </w:p>
    <w:p w14:paraId="26E81238">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eastAsia="宋体"/>
          <w:szCs w:val="24"/>
          <w:lang w:eastAsia="zh-CN"/>
        </w:rPr>
      </w:pPr>
      <w:r>
        <w:rPr>
          <w:rFonts w:hint="eastAsia" w:cs="宋体"/>
          <w:b/>
          <w:bCs/>
          <w:szCs w:val="24"/>
          <w:lang w:val="en-US" w:eastAsia="zh-CN"/>
        </w:rPr>
        <w:t>17</w:t>
      </w:r>
      <w:r>
        <w:rPr>
          <w:rFonts w:hint="eastAsia" w:ascii="宋体" w:hAnsi="宋体" w:cs="宋体"/>
          <w:b/>
          <w:bCs/>
          <w:szCs w:val="24"/>
        </w:rPr>
        <w:t>、其他事项</w:t>
      </w:r>
      <w:r>
        <w:rPr>
          <w:rFonts w:hint="eastAsia" w:cs="宋体"/>
          <w:b/>
          <w:bCs/>
          <w:szCs w:val="24"/>
          <w:lang w:eastAsia="zh-CN"/>
        </w:rPr>
        <w:t>：</w:t>
      </w:r>
    </w:p>
    <w:p w14:paraId="3DF70696">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17</w:t>
      </w:r>
      <w:r>
        <w:rPr>
          <w:rFonts w:hint="eastAsia" w:ascii="宋体" w:hAnsi="宋体" w:eastAsia="宋体" w:cs="宋体"/>
          <w:b w:val="0"/>
          <w:bCs w:val="0"/>
          <w:sz w:val="24"/>
          <w:szCs w:val="24"/>
          <w:lang w:val="en-US" w:eastAsia="zh-CN"/>
        </w:rPr>
        <w:t>.1供应商成交后，不得以任何理由将本项目分包、转包给第三方。</w:t>
      </w:r>
    </w:p>
    <w:p w14:paraId="75739AA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17</w:t>
      </w:r>
      <w:r>
        <w:rPr>
          <w:rFonts w:hint="eastAsia" w:ascii="宋体" w:hAnsi="宋体" w:eastAsia="宋体" w:cs="宋体"/>
          <w:b w:val="0"/>
          <w:bCs w:val="0"/>
          <w:sz w:val="24"/>
          <w:szCs w:val="24"/>
          <w:lang w:val="en-US" w:eastAsia="zh-CN"/>
        </w:rPr>
        <w:t>.2若出现有关法律、法规和规章有强制性规定但</w:t>
      </w:r>
      <w:r>
        <w:rPr>
          <w:rFonts w:hint="eastAsia" w:cs="宋体"/>
          <w:b w:val="0"/>
          <w:bCs w:val="0"/>
          <w:sz w:val="24"/>
          <w:szCs w:val="24"/>
          <w:lang w:val="en-US" w:eastAsia="zh-CN"/>
        </w:rPr>
        <w:t>网上竞价</w:t>
      </w:r>
      <w:r>
        <w:rPr>
          <w:rFonts w:hint="eastAsia" w:ascii="宋体" w:hAnsi="宋体" w:eastAsia="宋体" w:cs="宋体"/>
          <w:b w:val="0"/>
          <w:bCs w:val="0"/>
          <w:sz w:val="24"/>
          <w:szCs w:val="24"/>
          <w:lang w:val="en-US" w:eastAsia="zh-CN"/>
        </w:rPr>
        <w:t>文件未列明的情形，则供应商应按照有关法律、法规和规章强制性规定执行。</w:t>
      </w:r>
    </w:p>
    <w:p w14:paraId="62771AC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17</w:t>
      </w:r>
      <w:r>
        <w:rPr>
          <w:rFonts w:hint="eastAsia" w:ascii="宋体" w:hAnsi="宋体" w:eastAsia="宋体" w:cs="宋体"/>
          <w:b w:val="0"/>
          <w:bCs w:val="0"/>
          <w:sz w:val="24"/>
          <w:szCs w:val="24"/>
          <w:lang w:val="en-US" w:eastAsia="zh-CN"/>
        </w:rPr>
        <w:t>.3本竞价文件未明确的其他约定事项或条款，待采购人与成交供应商签订合同时，由双方协商订立。</w:t>
      </w:r>
    </w:p>
    <w:p w14:paraId="7473D12F">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7</w:t>
      </w:r>
      <w:r>
        <w:rPr>
          <w:rFonts w:hint="eastAsia" w:ascii="宋体" w:hAnsi="宋体" w:eastAsia="宋体" w:cs="宋体"/>
          <w:b w:val="0"/>
          <w:bCs w:val="0"/>
          <w:sz w:val="24"/>
          <w:szCs w:val="24"/>
          <w:lang w:val="en-US" w:eastAsia="zh-CN"/>
        </w:rPr>
        <w:t>.4供应商不得存在虚假应标谋取中标等行为，一经发现将取消其成交资格，并对其追究相关法律的责任。若第一成交候选人因不可抗力或自身原因提出不能履行合同，采购人可以重新招标。</w:t>
      </w:r>
    </w:p>
    <w:p w14:paraId="17C39650">
      <w:pPr>
        <w:widowControl/>
        <w:spacing w:line="360" w:lineRule="auto"/>
        <w:jc w:val="center"/>
        <w:rPr>
          <w:rFonts w:hint="eastAsia" w:ascii="宋体" w:hAnsi="宋体"/>
          <w:b/>
          <w:bCs/>
          <w:color w:val="auto"/>
          <w:sz w:val="36"/>
          <w:szCs w:val="36"/>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3"/>
        <w:spacing w:line="360" w:lineRule="auto"/>
        <w:rPr>
          <w:color w:val="auto"/>
          <w:highlight w:val="none"/>
        </w:rPr>
      </w:pPr>
    </w:p>
    <w:p w14:paraId="1C9B7D09">
      <w:pPr>
        <w:spacing w:line="360" w:lineRule="auto"/>
        <w:rPr>
          <w:color w:val="auto"/>
          <w:highlight w:val="none"/>
        </w:rPr>
      </w:pPr>
    </w:p>
    <w:p w14:paraId="6800853C">
      <w:pPr>
        <w:pStyle w:val="3"/>
        <w:spacing w:line="360" w:lineRule="auto"/>
        <w:rPr>
          <w:color w:val="auto"/>
          <w:highlight w:val="none"/>
        </w:rPr>
      </w:pPr>
    </w:p>
    <w:p w14:paraId="5A7E61FF">
      <w:pPr>
        <w:spacing w:line="360" w:lineRule="auto"/>
        <w:rPr>
          <w:color w:val="auto"/>
          <w:highlight w:val="none"/>
        </w:rPr>
      </w:pPr>
    </w:p>
    <w:p w14:paraId="41E83152">
      <w:pPr>
        <w:pStyle w:val="4"/>
        <w:spacing w:line="360" w:lineRule="auto"/>
        <w:rPr>
          <w:rFonts w:hint="default"/>
          <w:color w:val="auto"/>
          <w:highlight w:val="none"/>
        </w:rPr>
      </w:pPr>
    </w:p>
    <w:p w14:paraId="55C069FF">
      <w:pPr>
        <w:spacing w:line="360" w:lineRule="auto"/>
        <w:rPr>
          <w:color w:val="auto"/>
          <w:highlight w:val="none"/>
        </w:rPr>
      </w:pPr>
    </w:p>
    <w:p w14:paraId="20368753">
      <w:pPr>
        <w:pStyle w:val="4"/>
        <w:spacing w:line="360" w:lineRule="auto"/>
        <w:rPr>
          <w:rFonts w:hint="default"/>
          <w:color w:val="auto"/>
          <w:highlight w:val="none"/>
        </w:rPr>
      </w:pPr>
    </w:p>
    <w:p w14:paraId="2507E28E">
      <w:pPr>
        <w:spacing w:line="360" w:lineRule="auto"/>
        <w:rPr>
          <w:color w:val="auto"/>
          <w:highlight w:val="none"/>
        </w:rPr>
      </w:pPr>
    </w:p>
    <w:p w14:paraId="68F7C44C">
      <w:pPr>
        <w:pStyle w:val="4"/>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20"/>
        <w:spacing w:line="360" w:lineRule="auto"/>
        <w:ind w:firstLine="210"/>
        <w:rPr>
          <w:color w:val="auto"/>
          <w:highlight w:val="none"/>
        </w:rPr>
      </w:pPr>
    </w:p>
    <w:p w14:paraId="6326FD37">
      <w:pPr>
        <w:pStyle w:val="6"/>
        <w:spacing w:line="360" w:lineRule="auto"/>
        <w:rPr>
          <w:color w:val="auto"/>
          <w:highlight w:val="none"/>
        </w:rPr>
      </w:pPr>
    </w:p>
    <w:p w14:paraId="3FC45419">
      <w:pPr>
        <w:pStyle w:val="7"/>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30"/>
        <w:spacing w:after="120" w:line="360" w:lineRule="auto"/>
        <w:outlineLvl w:val="9"/>
        <w:rPr>
          <w:rStyle w:val="31"/>
          <w:rFonts w:hAnsi="宋体" w:cs="宋体"/>
          <w:b/>
          <w:bCs/>
          <w:color w:val="auto"/>
          <w:sz w:val="44"/>
          <w:szCs w:val="44"/>
          <w:highlight w:val="none"/>
        </w:rPr>
      </w:pPr>
    </w:p>
    <w:p w14:paraId="3006B5DF">
      <w:pPr>
        <w:pStyle w:val="30"/>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31"/>
          <w:rFonts w:hAnsi="宋体" w:cs="宋体"/>
          <w:b/>
          <w:bCs/>
          <w:color w:val="auto"/>
          <w:sz w:val="52"/>
          <w:szCs w:val="52"/>
          <w:highlight w:val="none"/>
        </w:rPr>
      </w:pPr>
      <w:r>
        <w:rPr>
          <w:rStyle w:val="31"/>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3"/>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30"/>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30"/>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30"/>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30"/>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30"/>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30"/>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4"/>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35498005">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30"/>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30"/>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3AA2E142">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30"/>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7"/>
        <w:spacing w:before="0" w:beforeAutospacing="0" w:after="0" w:afterAutospacing="0" w:line="360" w:lineRule="auto"/>
        <w:rPr>
          <w:color w:val="auto"/>
          <w:highlight w:val="none"/>
        </w:rPr>
      </w:pPr>
      <w:r>
        <w:rPr>
          <w:rFonts w:hint="eastAsia"/>
          <w:color w:val="auto"/>
          <w:highlight w:val="none"/>
        </w:rPr>
        <w:t> </w:t>
      </w:r>
    </w:p>
    <w:p w14:paraId="101C9A8E">
      <w:pPr>
        <w:pStyle w:val="17"/>
        <w:spacing w:before="0" w:beforeAutospacing="0" w:after="0" w:afterAutospacing="0" w:line="360" w:lineRule="auto"/>
        <w:rPr>
          <w:color w:val="auto"/>
          <w:highlight w:val="none"/>
        </w:rPr>
      </w:pPr>
      <w:r>
        <w:rPr>
          <w:rFonts w:hint="eastAsia"/>
          <w:color w:val="auto"/>
          <w:highlight w:val="none"/>
        </w:rPr>
        <w:t>授权方</w:t>
      </w:r>
    </w:p>
    <w:p w14:paraId="6CEE7BDA">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7"/>
        <w:spacing w:before="0" w:beforeAutospacing="0" w:after="0" w:afterAutospacing="0" w:line="360" w:lineRule="auto"/>
        <w:rPr>
          <w:color w:val="auto"/>
          <w:highlight w:val="none"/>
        </w:rPr>
      </w:pPr>
      <w:r>
        <w:rPr>
          <w:rFonts w:hint="eastAsia"/>
          <w:color w:val="auto"/>
          <w:highlight w:val="none"/>
        </w:rPr>
        <w:t> </w:t>
      </w:r>
    </w:p>
    <w:p w14:paraId="3FC63835">
      <w:pPr>
        <w:pStyle w:val="17"/>
        <w:spacing w:before="0" w:beforeAutospacing="0" w:after="0" w:afterAutospacing="0" w:line="360" w:lineRule="auto"/>
        <w:rPr>
          <w:color w:val="auto"/>
          <w:highlight w:val="none"/>
        </w:rPr>
      </w:pPr>
      <w:r>
        <w:rPr>
          <w:rFonts w:hint="eastAsia"/>
          <w:color w:val="auto"/>
          <w:highlight w:val="none"/>
        </w:rPr>
        <w:t>接受授权方</w:t>
      </w:r>
    </w:p>
    <w:p w14:paraId="2AFDCDD4">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7"/>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4"/>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4"/>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5"/>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1583"/>
        <w:gridCol w:w="1878"/>
        <w:gridCol w:w="1662"/>
      </w:tblGrid>
      <w:tr w14:paraId="1BDD1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438AE974">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1155" w:type="dxa"/>
            <w:vAlign w:val="center"/>
          </w:tcPr>
          <w:p w14:paraId="4F4BF870">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715" w:type="dxa"/>
            <w:vAlign w:val="center"/>
          </w:tcPr>
          <w:p w14:paraId="6F5E77FB">
            <w:pPr>
              <w:pStyle w:val="35"/>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服务名称</w:t>
            </w:r>
          </w:p>
        </w:tc>
        <w:tc>
          <w:tcPr>
            <w:tcW w:w="1583" w:type="dxa"/>
            <w:vAlign w:val="center"/>
          </w:tcPr>
          <w:p w14:paraId="2DC1373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eastAsia="zh-CN"/>
              </w:rPr>
              <w:t>数量</w:t>
            </w:r>
          </w:p>
        </w:tc>
        <w:tc>
          <w:tcPr>
            <w:tcW w:w="1878" w:type="dxa"/>
            <w:vAlign w:val="center"/>
          </w:tcPr>
          <w:p w14:paraId="04F9163F">
            <w:pPr>
              <w:pStyle w:val="35"/>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62" w:type="dxa"/>
            <w:vAlign w:val="center"/>
          </w:tcPr>
          <w:p w14:paraId="25D89385">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7BD69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69" w:type="dxa"/>
            <w:vMerge w:val="restart"/>
            <w:vAlign w:val="center"/>
          </w:tcPr>
          <w:p w14:paraId="2AEBA7E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5" w:type="dxa"/>
            <w:vAlign w:val="center"/>
          </w:tcPr>
          <w:p w14:paraId="1563DEAC">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715" w:type="dxa"/>
            <w:vAlign w:val="center"/>
          </w:tcPr>
          <w:p w14:paraId="1D49D4F1">
            <w:pPr>
              <w:spacing w:line="360" w:lineRule="auto"/>
              <w:jc w:val="center"/>
              <w:rPr>
                <w:rFonts w:ascii="宋体" w:hAnsi="宋体" w:cs="宋体"/>
                <w:color w:val="auto"/>
                <w:sz w:val="24"/>
                <w:highlight w:val="none"/>
              </w:rPr>
            </w:pPr>
          </w:p>
        </w:tc>
        <w:tc>
          <w:tcPr>
            <w:tcW w:w="1583" w:type="dxa"/>
            <w:vAlign w:val="center"/>
          </w:tcPr>
          <w:p w14:paraId="03E2BE46">
            <w:pPr>
              <w:spacing w:line="360" w:lineRule="auto"/>
              <w:jc w:val="center"/>
              <w:rPr>
                <w:rFonts w:ascii="宋体" w:hAnsi="宋体" w:cs="宋体"/>
                <w:color w:val="auto"/>
                <w:sz w:val="24"/>
                <w:highlight w:val="none"/>
              </w:rPr>
            </w:pPr>
          </w:p>
        </w:tc>
        <w:tc>
          <w:tcPr>
            <w:tcW w:w="1878" w:type="dxa"/>
            <w:vAlign w:val="center"/>
          </w:tcPr>
          <w:p w14:paraId="2B29CDF4">
            <w:pPr>
              <w:spacing w:line="360" w:lineRule="auto"/>
              <w:jc w:val="center"/>
              <w:rPr>
                <w:rFonts w:ascii="宋体" w:hAnsi="宋体" w:cs="宋体"/>
                <w:color w:val="auto"/>
                <w:sz w:val="24"/>
                <w:highlight w:val="none"/>
              </w:rPr>
            </w:pPr>
          </w:p>
        </w:tc>
        <w:tc>
          <w:tcPr>
            <w:tcW w:w="1662" w:type="dxa"/>
            <w:vAlign w:val="center"/>
          </w:tcPr>
          <w:p w14:paraId="47BE2CB9">
            <w:pPr>
              <w:spacing w:line="360" w:lineRule="auto"/>
              <w:jc w:val="center"/>
              <w:rPr>
                <w:rFonts w:ascii="宋体" w:hAnsi="宋体" w:cs="宋体"/>
                <w:color w:val="auto"/>
                <w:sz w:val="24"/>
                <w:highlight w:val="none"/>
              </w:rPr>
            </w:pPr>
          </w:p>
        </w:tc>
      </w:tr>
      <w:tr w14:paraId="0A99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0A71FDB3">
            <w:pPr>
              <w:spacing w:line="360" w:lineRule="auto"/>
              <w:jc w:val="center"/>
              <w:rPr>
                <w:rFonts w:ascii="宋体" w:hAnsi="宋体" w:cs="宋体"/>
                <w:color w:val="auto"/>
                <w:sz w:val="24"/>
                <w:highlight w:val="none"/>
              </w:rPr>
            </w:pPr>
          </w:p>
        </w:tc>
        <w:tc>
          <w:tcPr>
            <w:tcW w:w="1155" w:type="dxa"/>
            <w:vAlign w:val="center"/>
          </w:tcPr>
          <w:p w14:paraId="7F508B8E">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757FDE42">
            <w:pPr>
              <w:spacing w:line="360" w:lineRule="auto"/>
              <w:jc w:val="center"/>
              <w:rPr>
                <w:rFonts w:ascii="宋体" w:hAnsi="宋体" w:cs="宋体"/>
                <w:color w:val="auto"/>
                <w:sz w:val="24"/>
                <w:highlight w:val="none"/>
              </w:rPr>
            </w:pPr>
          </w:p>
        </w:tc>
        <w:tc>
          <w:tcPr>
            <w:tcW w:w="1583" w:type="dxa"/>
            <w:vAlign w:val="center"/>
          </w:tcPr>
          <w:p w14:paraId="138BAC3E">
            <w:pPr>
              <w:spacing w:line="360" w:lineRule="auto"/>
              <w:jc w:val="center"/>
              <w:rPr>
                <w:rFonts w:ascii="宋体" w:hAnsi="宋体" w:cs="宋体"/>
                <w:color w:val="auto"/>
                <w:sz w:val="24"/>
                <w:highlight w:val="none"/>
              </w:rPr>
            </w:pPr>
          </w:p>
        </w:tc>
        <w:tc>
          <w:tcPr>
            <w:tcW w:w="1878" w:type="dxa"/>
            <w:vAlign w:val="center"/>
          </w:tcPr>
          <w:p w14:paraId="11DA6FBE">
            <w:pPr>
              <w:spacing w:line="360" w:lineRule="auto"/>
              <w:jc w:val="center"/>
              <w:rPr>
                <w:rFonts w:ascii="宋体" w:hAnsi="宋体" w:cs="宋体"/>
                <w:color w:val="auto"/>
                <w:sz w:val="24"/>
                <w:highlight w:val="none"/>
              </w:rPr>
            </w:pPr>
          </w:p>
        </w:tc>
        <w:tc>
          <w:tcPr>
            <w:tcW w:w="1662" w:type="dxa"/>
            <w:vAlign w:val="center"/>
          </w:tcPr>
          <w:p w14:paraId="3F3B43D2">
            <w:pPr>
              <w:spacing w:line="360" w:lineRule="auto"/>
              <w:jc w:val="center"/>
              <w:rPr>
                <w:rFonts w:ascii="宋体" w:hAnsi="宋体" w:cs="宋体"/>
                <w:color w:val="auto"/>
                <w:sz w:val="24"/>
                <w:highlight w:val="none"/>
              </w:rPr>
            </w:pPr>
          </w:p>
        </w:tc>
      </w:tr>
    </w:tbl>
    <w:p w14:paraId="5C669478">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12582ADD">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40DC88B4">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530478BC">
      <w:pPr>
        <w:pStyle w:val="35"/>
        <w:spacing w:line="360" w:lineRule="auto"/>
        <w:ind w:firstLine="480"/>
        <w:jc w:val="both"/>
        <w:rPr>
          <w:rFonts w:hint="default" w:ascii="宋体" w:hAnsi="宋体" w:eastAsia="宋体" w:cs="宋体"/>
          <w:b w:val="0"/>
          <w:bCs w:val="0"/>
          <w:color w:val="auto"/>
          <w:sz w:val="24"/>
          <w:szCs w:val="24"/>
        </w:rPr>
      </w:pPr>
      <w:r>
        <w:rPr>
          <w:rFonts w:ascii="宋体" w:hAnsi="宋体" w:eastAsia="宋体" w:cs="宋体"/>
          <w:b w:val="0"/>
          <w:bCs w:val="0"/>
          <w:color w:val="auto"/>
          <w:sz w:val="24"/>
          <w:szCs w:val="24"/>
        </w:rPr>
        <w:t>1.2货物</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：“规格”项下应填写货物制造厂商赋予的品牌（属于节能、环保清单产品的货物，填写的品牌名称应与清单载明的品牌名称保持一致）及具体型号。“来源地”应填写货物的原产地。</w:t>
      </w:r>
    </w:p>
    <w:p w14:paraId="26DA470C">
      <w:pPr>
        <w:pStyle w:val="35"/>
        <w:spacing w:line="360" w:lineRule="auto"/>
        <w:ind w:firstLine="480"/>
        <w:jc w:val="both"/>
        <w:rPr>
          <w:rFonts w:hint="default" w:ascii="宋体" w:hAnsi="宋体" w:eastAsia="宋体" w:cs="宋体"/>
          <w:b/>
          <w:bCs/>
          <w:color w:val="auto"/>
          <w:sz w:val="24"/>
          <w:szCs w:val="24"/>
        </w:rPr>
      </w:pPr>
      <w:r>
        <w:rPr>
          <w:rFonts w:ascii="宋体" w:hAnsi="宋体" w:eastAsia="宋体" w:cs="宋体"/>
          <w:b/>
          <w:bCs/>
          <w:color w:val="auto"/>
          <w:sz w:val="24"/>
          <w:szCs w:val="24"/>
        </w:rPr>
        <w:t>1.3服务</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：“规格”项下应填写服务提供者提供的服务标准。“来源地”应填写服务提供者的所在地。</w:t>
      </w:r>
    </w:p>
    <w:p w14:paraId="03C217B3">
      <w:pPr>
        <w:pStyle w:val="35"/>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32C2B03F">
      <w:pPr>
        <w:pStyle w:val="35"/>
        <w:spacing w:line="360" w:lineRule="auto"/>
        <w:ind w:firstLine="480"/>
        <w:jc w:val="right"/>
        <w:rPr>
          <w:rFonts w:hint="default" w:ascii="宋体" w:hAnsi="宋体" w:cs="宋体"/>
          <w:color w:val="auto"/>
          <w:sz w:val="24"/>
          <w:szCs w:val="24"/>
          <w:highlight w:val="none"/>
        </w:rPr>
      </w:pPr>
    </w:p>
    <w:p w14:paraId="42823BB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2686802">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6CE2835">
      <w:pPr>
        <w:pStyle w:val="35"/>
        <w:spacing w:line="360" w:lineRule="auto"/>
        <w:jc w:val="both"/>
        <w:rPr>
          <w:rFonts w:hint="default" w:ascii="宋体" w:hAnsi="宋体" w:cs="宋体"/>
          <w:color w:val="auto"/>
          <w:sz w:val="24"/>
          <w:szCs w:val="24"/>
          <w:highlight w:val="none"/>
        </w:rPr>
      </w:pPr>
    </w:p>
    <w:p w14:paraId="379D4CC4">
      <w:pPr>
        <w:pStyle w:val="35"/>
        <w:spacing w:line="360" w:lineRule="auto"/>
        <w:jc w:val="both"/>
        <w:rPr>
          <w:rFonts w:hint="default" w:ascii="宋体" w:hAnsi="宋体" w:cs="宋体"/>
          <w:color w:val="auto"/>
          <w:sz w:val="24"/>
          <w:szCs w:val="24"/>
          <w:highlight w:val="none"/>
        </w:rPr>
      </w:pPr>
    </w:p>
    <w:p w14:paraId="4317D954">
      <w:pPr>
        <w:pStyle w:val="35"/>
        <w:spacing w:line="360" w:lineRule="auto"/>
        <w:jc w:val="both"/>
        <w:rPr>
          <w:rFonts w:hint="default" w:ascii="宋体" w:hAnsi="宋体" w:cs="宋体"/>
          <w:color w:val="auto"/>
          <w:sz w:val="24"/>
          <w:szCs w:val="24"/>
          <w:highlight w:val="none"/>
        </w:rPr>
      </w:pPr>
    </w:p>
    <w:p w14:paraId="3D668775">
      <w:pPr>
        <w:pStyle w:val="35"/>
        <w:spacing w:line="360" w:lineRule="auto"/>
        <w:jc w:val="both"/>
        <w:rPr>
          <w:rFonts w:hint="default" w:ascii="宋体" w:hAnsi="宋体" w:cs="宋体"/>
          <w:color w:val="auto"/>
          <w:sz w:val="24"/>
          <w:szCs w:val="24"/>
          <w:highlight w:val="none"/>
        </w:rPr>
      </w:pP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13"/>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7"/>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7"/>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7"/>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7"/>
              <w:wordWrap w:val="0"/>
              <w:spacing w:before="0" w:beforeAutospacing="0" w:after="0" w:afterAutospacing="0" w:line="360" w:lineRule="auto"/>
              <w:jc w:val="center"/>
              <w:rPr>
                <w:color w:val="auto"/>
                <w:highlight w:val="none"/>
              </w:rPr>
            </w:pPr>
          </w:p>
        </w:tc>
      </w:tr>
    </w:tbl>
    <w:p w14:paraId="4AC9942A">
      <w:pPr>
        <w:pStyle w:val="17"/>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7"/>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5"/>
        <w:spacing w:line="360" w:lineRule="auto"/>
        <w:ind w:firstLine="480"/>
        <w:jc w:val="right"/>
        <w:rPr>
          <w:rFonts w:hint="default" w:ascii="宋体" w:hAnsi="宋体" w:cs="宋体"/>
          <w:color w:val="auto"/>
          <w:sz w:val="24"/>
          <w:szCs w:val="24"/>
          <w:highlight w:val="none"/>
          <w:lang w:eastAsia="zh-CN"/>
        </w:rPr>
      </w:pPr>
    </w:p>
    <w:p w14:paraId="0A623601">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7"/>
        <w:spacing w:line="360" w:lineRule="auto"/>
        <w:ind w:left="0" w:leftChars="0"/>
        <w:rPr>
          <w:rFonts w:ascii="宋体" w:hAnsi="宋体" w:cs="宋体"/>
          <w:color w:val="auto"/>
          <w:sz w:val="24"/>
          <w:highlight w:val="none"/>
        </w:rPr>
      </w:pPr>
    </w:p>
    <w:p w14:paraId="1119D3D2">
      <w:pPr>
        <w:pStyle w:val="13"/>
        <w:spacing w:line="360" w:lineRule="auto"/>
        <w:rPr>
          <w:rFonts w:ascii="宋体" w:hAnsi="宋体" w:cs="宋体"/>
          <w:color w:val="auto"/>
          <w:sz w:val="24"/>
          <w:highlight w:val="none"/>
        </w:rPr>
      </w:pPr>
    </w:p>
    <w:p w14:paraId="5321318A">
      <w:pPr>
        <w:pStyle w:val="13"/>
        <w:spacing w:line="360" w:lineRule="auto"/>
        <w:rPr>
          <w:rFonts w:ascii="宋体" w:hAnsi="宋体" w:cs="宋体"/>
          <w:color w:val="auto"/>
          <w:sz w:val="24"/>
          <w:highlight w:val="none"/>
        </w:rPr>
      </w:pPr>
    </w:p>
    <w:p w14:paraId="3C82014B">
      <w:pPr>
        <w:pStyle w:val="13"/>
        <w:spacing w:line="360" w:lineRule="auto"/>
        <w:rPr>
          <w:rFonts w:ascii="宋体" w:hAnsi="宋体" w:cs="宋体"/>
          <w:color w:val="auto"/>
          <w:sz w:val="24"/>
          <w:highlight w:val="none"/>
        </w:rPr>
      </w:pPr>
    </w:p>
    <w:p w14:paraId="3726D4AE">
      <w:pPr>
        <w:pStyle w:val="13"/>
        <w:spacing w:line="360" w:lineRule="auto"/>
        <w:rPr>
          <w:rFonts w:ascii="宋体" w:hAnsi="宋体" w:cs="宋体"/>
          <w:color w:val="auto"/>
          <w:sz w:val="24"/>
          <w:highlight w:val="none"/>
        </w:rPr>
      </w:pPr>
    </w:p>
    <w:p w14:paraId="0F16B34A">
      <w:pPr>
        <w:pStyle w:val="13"/>
        <w:spacing w:line="360" w:lineRule="auto"/>
        <w:rPr>
          <w:rFonts w:ascii="宋体" w:hAnsi="宋体" w:cs="宋体"/>
          <w:color w:val="auto"/>
          <w:sz w:val="24"/>
          <w:highlight w:val="none"/>
        </w:rPr>
      </w:pPr>
    </w:p>
    <w:p w14:paraId="73F56BF6">
      <w:pPr>
        <w:pStyle w:val="13"/>
        <w:spacing w:line="360" w:lineRule="auto"/>
        <w:rPr>
          <w:rFonts w:ascii="宋体" w:hAnsi="宋体" w:cs="宋体"/>
          <w:color w:val="auto"/>
          <w:sz w:val="24"/>
          <w:highlight w:val="none"/>
        </w:rPr>
      </w:pPr>
    </w:p>
    <w:p w14:paraId="61FA2276">
      <w:pPr>
        <w:pStyle w:val="13"/>
        <w:spacing w:line="360" w:lineRule="auto"/>
        <w:rPr>
          <w:rFonts w:ascii="宋体" w:hAnsi="宋体" w:cs="宋体"/>
          <w:color w:val="auto"/>
          <w:sz w:val="24"/>
          <w:highlight w:val="none"/>
        </w:rPr>
      </w:pPr>
    </w:p>
    <w:p w14:paraId="468F1230">
      <w:pPr>
        <w:pStyle w:val="13"/>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7"/>
        <w:spacing w:line="360" w:lineRule="auto"/>
        <w:ind w:left="0" w:leftChars="0"/>
        <w:rPr>
          <w:rFonts w:ascii="宋体" w:hAnsi="宋体" w:cs="宋体"/>
          <w:b/>
          <w:bCs/>
          <w:color w:val="auto"/>
          <w:sz w:val="28"/>
          <w:szCs w:val="28"/>
          <w:highlight w:val="none"/>
        </w:rPr>
      </w:pPr>
    </w:p>
    <w:p w14:paraId="2C71186F">
      <w:pPr>
        <w:pStyle w:val="13"/>
        <w:spacing w:line="360" w:lineRule="auto"/>
        <w:rPr>
          <w:rFonts w:ascii="宋体" w:hAnsi="宋体" w:cs="宋体"/>
          <w:b/>
          <w:bCs/>
          <w:color w:val="auto"/>
          <w:sz w:val="28"/>
          <w:szCs w:val="28"/>
          <w:highlight w:val="none"/>
        </w:rPr>
      </w:pPr>
    </w:p>
    <w:p w14:paraId="0776CC2D">
      <w:pPr>
        <w:pStyle w:val="13"/>
        <w:spacing w:line="360" w:lineRule="auto"/>
        <w:rPr>
          <w:rFonts w:ascii="宋体" w:hAnsi="宋体" w:cs="宋体"/>
          <w:b/>
          <w:bCs/>
          <w:color w:val="auto"/>
          <w:sz w:val="28"/>
          <w:szCs w:val="28"/>
          <w:highlight w:val="none"/>
        </w:rPr>
      </w:pPr>
    </w:p>
    <w:p w14:paraId="79EF7A83">
      <w:pPr>
        <w:pStyle w:val="7"/>
        <w:spacing w:line="360" w:lineRule="auto"/>
        <w:ind w:left="0" w:leftChars="0"/>
        <w:rPr>
          <w:rFonts w:ascii="宋体" w:hAnsi="宋体" w:cs="宋体"/>
          <w:b/>
          <w:bCs/>
          <w:color w:val="auto"/>
          <w:sz w:val="28"/>
          <w:szCs w:val="28"/>
          <w:highlight w:val="none"/>
        </w:rPr>
      </w:pPr>
    </w:p>
    <w:p w14:paraId="06B2F9FD">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13"/>
        <w:spacing w:line="360" w:lineRule="auto"/>
        <w:rPr>
          <w:rFonts w:ascii="宋体" w:hAnsi="宋体" w:cs="宋体"/>
          <w:b/>
          <w:bCs/>
          <w:color w:val="auto"/>
          <w:sz w:val="28"/>
          <w:szCs w:val="28"/>
          <w:highlight w:val="none"/>
        </w:rPr>
      </w:pPr>
    </w:p>
    <w:p w14:paraId="088FA728">
      <w:pPr>
        <w:pStyle w:val="35"/>
        <w:spacing w:line="360" w:lineRule="auto"/>
        <w:ind w:firstLine="480"/>
        <w:jc w:val="right"/>
        <w:rPr>
          <w:rFonts w:hint="default" w:ascii="宋体" w:hAnsi="宋体" w:cs="宋体"/>
          <w:color w:val="auto"/>
          <w:sz w:val="24"/>
          <w:szCs w:val="24"/>
          <w:highlight w:val="none"/>
          <w:lang w:eastAsia="zh-CN"/>
        </w:rPr>
      </w:pPr>
    </w:p>
    <w:p w14:paraId="1AA8D74A">
      <w:pPr>
        <w:pStyle w:val="35"/>
        <w:spacing w:line="360" w:lineRule="auto"/>
        <w:ind w:firstLine="480"/>
        <w:jc w:val="right"/>
        <w:rPr>
          <w:rFonts w:hint="default" w:ascii="宋体" w:hAnsi="宋体" w:cs="宋体"/>
          <w:color w:val="auto"/>
          <w:sz w:val="24"/>
          <w:szCs w:val="24"/>
          <w:highlight w:val="none"/>
          <w:lang w:eastAsia="zh-CN"/>
        </w:rPr>
      </w:pPr>
    </w:p>
    <w:p w14:paraId="5427EDC7">
      <w:pPr>
        <w:pStyle w:val="35"/>
        <w:spacing w:line="360" w:lineRule="auto"/>
        <w:ind w:firstLine="480"/>
        <w:jc w:val="right"/>
        <w:rPr>
          <w:rFonts w:hint="default" w:ascii="宋体" w:hAnsi="宋体" w:cs="宋体"/>
          <w:color w:val="auto"/>
          <w:sz w:val="24"/>
          <w:szCs w:val="24"/>
          <w:highlight w:val="none"/>
          <w:lang w:eastAsia="zh-CN"/>
        </w:rPr>
      </w:pPr>
    </w:p>
    <w:p w14:paraId="0B753577">
      <w:pPr>
        <w:pStyle w:val="35"/>
        <w:spacing w:line="360" w:lineRule="auto"/>
        <w:ind w:firstLine="480"/>
        <w:jc w:val="right"/>
        <w:rPr>
          <w:rFonts w:hint="default" w:ascii="宋体" w:hAnsi="宋体" w:cs="宋体"/>
          <w:color w:val="auto"/>
          <w:sz w:val="24"/>
          <w:szCs w:val="24"/>
          <w:highlight w:val="none"/>
          <w:lang w:eastAsia="zh-CN"/>
        </w:rPr>
      </w:pPr>
    </w:p>
    <w:p w14:paraId="2AFC039F">
      <w:pPr>
        <w:pStyle w:val="35"/>
        <w:spacing w:line="360" w:lineRule="auto"/>
        <w:ind w:firstLine="480"/>
        <w:jc w:val="right"/>
        <w:rPr>
          <w:rFonts w:hint="default" w:ascii="宋体" w:hAnsi="宋体" w:cs="宋体"/>
          <w:color w:val="auto"/>
          <w:sz w:val="24"/>
          <w:szCs w:val="24"/>
          <w:highlight w:val="none"/>
          <w:lang w:eastAsia="zh-CN"/>
        </w:rPr>
      </w:pPr>
    </w:p>
    <w:p w14:paraId="36ECBE1C">
      <w:pPr>
        <w:pStyle w:val="35"/>
        <w:spacing w:line="360" w:lineRule="auto"/>
        <w:ind w:firstLine="480"/>
        <w:jc w:val="right"/>
        <w:rPr>
          <w:rFonts w:hint="default" w:ascii="宋体" w:hAnsi="宋体" w:cs="宋体"/>
          <w:color w:val="auto"/>
          <w:sz w:val="24"/>
          <w:szCs w:val="24"/>
          <w:highlight w:val="none"/>
          <w:lang w:eastAsia="zh-CN"/>
        </w:rPr>
      </w:pPr>
    </w:p>
    <w:p w14:paraId="50C0A2E0">
      <w:pPr>
        <w:pStyle w:val="35"/>
        <w:spacing w:line="360" w:lineRule="auto"/>
        <w:ind w:firstLine="480"/>
        <w:jc w:val="right"/>
        <w:rPr>
          <w:rFonts w:hint="default" w:ascii="宋体" w:hAnsi="宋体" w:cs="宋体"/>
          <w:color w:val="auto"/>
          <w:sz w:val="24"/>
          <w:szCs w:val="24"/>
          <w:highlight w:val="none"/>
          <w:lang w:eastAsia="zh-CN"/>
        </w:rPr>
      </w:pPr>
    </w:p>
    <w:p w14:paraId="7BEACA2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13"/>
        <w:spacing w:line="360" w:lineRule="auto"/>
        <w:rPr>
          <w:rFonts w:ascii="宋体" w:hAnsi="宋体" w:cs="宋体"/>
          <w:b/>
          <w:bCs/>
          <w:color w:val="auto"/>
          <w:sz w:val="28"/>
          <w:szCs w:val="28"/>
          <w:highlight w:val="none"/>
        </w:rPr>
      </w:pPr>
    </w:p>
    <w:p w14:paraId="31F6CFBA">
      <w:pPr>
        <w:pStyle w:val="7"/>
        <w:spacing w:line="360" w:lineRule="auto"/>
        <w:ind w:left="0" w:leftChars="0"/>
        <w:jc w:val="center"/>
        <w:rPr>
          <w:rFonts w:ascii="宋体" w:hAnsi="宋体" w:cs="宋体"/>
          <w:b/>
          <w:bCs/>
          <w:color w:val="auto"/>
          <w:sz w:val="28"/>
          <w:szCs w:val="28"/>
          <w:highlight w:val="none"/>
        </w:rPr>
      </w:pPr>
    </w:p>
    <w:p w14:paraId="37897154">
      <w:pPr>
        <w:pStyle w:val="7"/>
        <w:spacing w:line="360" w:lineRule="auto"/>
        <w:ind w:left="0" w:leftChars="0"/>
        <w:jc w:val="center"/>
        <w:rPr>
          <w:rFonts w:ascii="宋体" w:hAnsi="宋体" w:cs="宋体"/>
          <w:b/>
          <w:bCs/>
          <w:color w:val="auto"/>
          <w:sz w:val="28"/>
          <w:szCs w:val="28"/>
          <w:highlight w:val="none"/>
        </w:rPr>
      </w:pPr>
    </w:p>
    <w:p w14:paraId="19D064AE">
      <w:pPr>
        <w:pStyle w:val="7"/>
        <w:spacing w:line="360" w:lineRule="auto"/>
        <w:ind w:left="0" w:leftChars="0"/>
        <w:jc w:val="center"/>
        <w:rPr>
          <w:rFonts w:ascii="宋体" w:hAnsi="宋体" w:cs="宋体"/>
          <w:b/>
          <w:bCs/>
          <w:color w:val="auto"/>
          <w:sz w:val="28"/>
          <w:szCs w:val="28"/>
          <w:highlight w:val="none"/>
        </w:rPr>
      </w:pPr>
    </w:p>
    <w:p w14:paraId="0ED390FA">
      <w:pPr>
        <w:pStyle w:val="7"/>
        <w:spacing w:line="360" w:lineRule="auto"/>
        <w:ind w:left="0" w:leftChars="0"/>
        <w:jc w:val="center"/>
        <w:rPr>
          <w:rFonts w:ascii="宋体" w:hAnsi="宋体" w:cs="宋体"/>
          <w:b/>
          <w:bCs/>
          <w:color w:val="auto"/>
          <w:sz w:val="28"/>
          <w:szCs w:val="28"/>
          <w:highlight w:val="none"/>
        </w:rPr>
      </w:pPr>
    </w:p>
    <w:p w14:paraId="3C84BE07">
      <w:pPr>
        <w:pStyle w:val="7"/>
        <w:spacing w:line="360" w:lineRule="auto"/>
        <w:ind w:left="0" w:leftChars="0"/>
        <w:jc w:val="center"/>
        <w:rPr>
          <w:rFonts w:ascii="宋体" w:hAnsi="宋体" w:cs="宋体"/>
          <w:b/>
          <w:bCs/>
          <w:color w:val="auto"/>
          <w:sz w:val="28"/>
          <w:szCs w:val="28"/>
          <w:highlight w:val="none"/>
        </w:rPr>
      </w:pPr>
    </w:p>
    <w:p w14:paraId="64E4F662">
      <w:pPr>
        <w:pStyle w:val="7"/>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7"/>
        <w:spacing w:line="360" w:lineRule="auto"/>
        <w:ind w:left="0" w:leftChars="0"/>
        <w:jc w:val="center"/>
        <w:rPr>
          <w:rFonts w:ascii="宋体" w:hAnsi="宋体" w:cs="宋体"/>
          <w:b/>
          <w:bCs/>
          <w:color w:val="auto"/>
          <w:sz w:val="28"/>
          <w:szCs w:val="28"/>
          <w:highlight w:val="none"/>
        </w:rPr>
      </w:pPr>
    </w:p>
    <w:p w14:paraId="7CEA87EF">
      <w:pPr>
        <w:pStyle w:val="7"/>
        <w:spacing w:line="360" w:lineRule="auto"/>
        <w:ind w:left="0" w:leftChars="0"/>
        <w:jc w:val="center"/>
        <w:rPr>
          <w:rFonts w:ascii="宋体" w:hAnsi="宋体" w:cs="宋体"/>
          <w:b/>
          <w:bCs/>
          <w:color w:val="auto"/>
          <w:sz w:val="28"/>
          <w:szCs w:val="28"/>
          <w:highlight w:val="none"/>
        </w:rPr>
      </w:pPr>
    </w:p>
    <w:p w14:paraId="331B2308">
      <w:pPr>
        <w:pStyle w:val="7"/>
        <w:spacing w:line="360" w:lineRule="auto"/>
        <w:ind w:left="0" w:leftChars="0"/>
        <w:jc w:val="center"/>
        <w:rPr>
          <w:rFonts w:ascii="宋体" w:hAnsi="宋体" w:cs="宋体"/>
          <w:b/>
          <w:bCs/>
          <w:color w:val="auto"/>
          <w:sz w:val="28"/>
          <w:szCs w:val="28"/>
          <w:highlight w:val="none"/>
        </w:rPr>
      </w:pPr>
    </w:p>
    <w:p w14:paraId="574F2A9B">
      <w:pPr>
        <w:pStyle w:val="7"/>
        <w:spacing w:line="360" w:lineRule="auto"/>
        <w:ind w:left="0" w:leftChars="0"/>
        <w:jc w:val="center"/>
        <w:rPr>
          <w:rFonts w:ascii="宋体" w:hAnsi="宋体" w:cs="宋体"/>
          <w:b/>
          <w:bCs/>
          <w:color w:val="auto"/>
          <w:sz w:val="28"/>
          <w:szCs w:val="28"/>
          <w:highlight w:val="none"/>
        </w:rPr>
      </w:pPr>
    </w:p>
    <w:p w14:paraId="3DB00B56">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13"/>
        <w:spacing w:line="360" w:lineRule="auto"/>
        <w:rPr>
          <w:rFonts w:ascii="宋体" w:hAnsi="宋体" w:cs="宋体"/>
          <w:b/>
          <w:bCs/>
          <w:color w:val="auto"/>
          <w:sz w:val="28"/>
          <w:szCs w:val="28"/>
          <w:highlight w:val="none"/>
        </w:rPr>
      </w:pPr>
    </w:p>
    <w:p w14:paraId="70DC87A6">
      <w:pPr>
        <w:pStyle w:val="35"/>
        <w:spacing w:line="360" w:lineRule="auto"/>
        <w:ind w:firstLine="480"/>
        <w:jc w:val="right"/>
        <w:rPr>
          <w:rFonts w:hint="default" w:ascii="宋体" w:hAnsi="宋体" w:cs="宋体"/>
          <w:color w:val="auto"/>
          <w:sz w:val="24"/>
          <w:szCs w:val="24"/>
          <w:highlight w:val="none"/>
          <w:lang w:eastAsia="zh-CN"/>
        </w:rPr>
      </w:pPr>
    </w:p>
    <w:p w14:paraId="54C846C4">
      <w:pPr>
        <w:pStyle w:val="35"/>
        <w:spacing w:line="360" w:lineRule="auto"/>
        <w:ind w:firstLine="480"/>
        <w:jc w:val="right"/>
        <w:rPr>
          <w:rFonts w:hint="default" w:ascii="宋体" w:hAnsi="宋体" w:cs="宋体"/>
          <w:color w:val="auto"/>
          <w:sz w:val="24"/>
          <w:szCs w:val="24"/>
          <w:highlight w:val="none"/>
          <w:lang w:eastAsia="zh-CN"/>
        </w:rPr>
      </w:pPr>
    </w:p>
    <w:p w14:paraId="77363007">
      <w:pPr>
        <w:pStyle w:val="35"/>
        <w:spacing w:line="360" w:lineRule="auto"/>
        <w:ind w:firstLine="480"/>
        <w:jc w:val="right"/>
        <w:rPr>
          <w:rFonts w:hint="default" w:ascii="宋体" w:hAnsi="宋体" w:cs="宋体"/>
          <w:color w:val="auto"/>
          <w:sz w:val="24"/>
          <w:szCs w:val="24"/>
          <w:highlight w:val="none"/>
          <w:lang w:eastAsia="zh-CN"/>
        </w:rPr>
      </w:pPr>
    </w:p>
    <w:p w14:paraId="20DF0C08">
      <w:pPr>
        <w:pStyle w:val="35"/>
        <w:spacing w:line="360" w:lineRule="auto"/>
        <w:ind w:firstLine="480"/>
        <w:jc w:val="right"/>
        <w:rPr>
          <w:rFonts w:hint="default" w:ascii="宋体" w:hAnsi="宋体" w:cs="宋体"/>
          <w:color w:val="auto"/>
          <w:sz w:val="24"/>
          <w:szCs w:val="24"/>
          <w:highlight w:val="none"/>
          <w:lang w:eastAsia="zh-CN"/>
        </w:rPr>
      </w:pPr>
    </w:p>
    <w:p w14:paraId="0AA1C83D">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13"/>
        <w:spacing w:line="360" w:lineRule="auto"/>
        <w:rPr>
          <w:rFonts w:ascii="宋体" w:hAnsi="宋体" w:cs="宋体"/>
          <w:b/>
          <w:bCs/>
          <w:color w:val="auto"/>
          <w:sz w:val="28"/>
          <w:szCs w:val="28"/>
          <w:highlight w:val="none"/>
        </w:rPr>
      </w:pPr>
    </w:p>
    <w:p w14:paraId="22A9EDD9">
      <w:pPr>
        <w:pStyle w:val="13"/>
        <w:spacing w:line="360" w:lineRule="auto"/>
        <w:rPr>
          <w:color w:val="auto"/>
          <w:highlight w:val="none"/>
        </w:rPr>
      </w:pPr>
    </w:p>
    <w:p w14:paraId="01C7C78E">
      <w:pPr>
        <w:pStyle w:val="13"/>
        <w:spacing w:line="360" w:lineRule="auto"/>
        <w:rPr>
          <w:color w:val="auto"/>
          <w:highlight w:val="none"/>
        </w:rPr>
      </w:pPr>
    </w:p>
    <w:p w14:paraId="35556AE7">
      <w:pPr>
        <w:pStyle w:val="13"/>
        <w:spacing w:line="360" w:lineRule="auto"/>
        <w:rPr>
          <w:color w:val="auto"/>
          <w:highlight w:val="none"/>
        </w:rPr>
      </w:pPr>
    </w:p>
    <w:p w14:paraId="4E1A6E85">
      <w:pPr>
        <w:pStyle w:val="13"/>
        <w:spacing w:line="360" w:lineRule="auto"/>
        <w:rPr>
          <w:color w:val="auto"/>
          <w:highlight w:val="none"/>
        </w:rPr>
      </w:pPr>
    </w:p>
    <w:p w14:paraId="46AD2750">
      <w:pPr>
        <w:pStyle w:val="13"/>
        <w:spacing w:line="360" w:lineRule="auto"/>
        <w:rPr>
          <w:color w:val="auto"/>
          <w:highlight w:val="none"/>
        </w:rPr>
      </w:pPr>
    </w:p>
    <w:p w14:paraId="1913FC5F">
      <w:pPr>
        <w:pStyle w:val="13"/>
        <w:spacing w:line="360" w:lineRule="auto"/>
        <w:rPr>
          <w:color w:val="auto"/>
          <w:highlight w:val="none"/>
        </w:rPr>
      </w:pPr>
    </w:p>
    <w:p w14:paraId="61F60254">
      <w:pPr>
        <w:pStyle w:val="13"/>
        <w:spacing w:line="360" w:lineRule="auto"/>
        <w:rPr>
          <w:color w:val="auto"/>
          <w:highlight w:val="none"/>
        </w:rPr>
      </w:pPr>
    </w:p>
    <w:p w14:paraId="02CCF8EF">
      <w:pPr>
        <w:pStyle w:val="13"/>
        <w:spacing w:line="360" w:lineRule="auto"/>
        <w:rPr>
          <w:color w:val="auto"/>
          <w:highlight w:val="none"/>
        </w:rPr>
      </w:pPr>
    </w:p>
    <w:p w14:paraId="40D9D294">
      <w:pPr>
        <w:pStyle w:val="13"/>
        <w:spacing w:line="360" w:lineRule="auto"/>
        <w:rPr>
          <w:color w:val="auto"/>
          <w:highlight w:val="none"/>
        </w:rPr>
      </w:pPr>
    </w:p>
    <w:p w14:paraId="26CFA76D">
      <w:pPr>
        <w:pStyle w:val="13"/>
        <w:spacing w:line="360" w:lineRule="auto"/>
        <w:rPr>
          <w:color w:val="auto"/>
          <w:highlight w:val="none"/>
        </w:rPr>
      </w:pPr>
    </w:p>
    <w:p w14:paraId="6236DE25">
      <w:pPr>
        <w:pStyle w:val="13"/>
        <w:spacing w:line="360" w:lineRule="auto"/>
        <w:rPr>
          <w:color w:val="auto"/>
          <w:highlight w:val="none"/>
        </w:rPr>
      </w:pPr>
    </w:p>
    <w:p w14:paraId="3DC90531">
      <w:pPr>
        <w:pStyle w:val="13"/>
        <w:spacing w:line="360" w:lineRule="auto"/>
        <w:rPr>
          <w:color w:val="auto"/>
          <w:highlight w:val="none"/>
        </w:rPr>
      </w:pPr>
    </w:p>
    <w:p w14:paraId="6810E63F">
      <w:pPr>
        <w:pStyle w:val="13"/>
        <w:spacing w:line="360" w:lineRule="auto"/>
        <w:rPr>
          <w:color w:val="auto"/>
          <w:highlight w:val="none"/>
        </w:rPr>
      </w:pPr>
    </w:p>
    <w:p w14:paraId="2D859747">
      <w:pPr>
        <w:pStyle w:val="13"/>
        <w:spacing w:line="360" w:lineRule="auto"/>
        <w:rPr>
          <w:color w:val="auto"/>
          <w:highlight w:val="none"/>
        </w:rPr>
      </w:pPr>
    </w:p>
    <w:p w14:paraId="1A9B0A73">
      <w:pPr>
        <w:pStyle w:val="13"/>
        <w:spacing w:line="360" w:lineRule="auto"/>
        <w:rPr>
          <w:color w:val="auto"/>
          <w:highlight w:val="none"/>
        </w:rPr>
      </w:pPr>
    </w:p>
    <w:p w14:paraId="09BAEE96">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6"/>
        <w:spacing w:line="360" w:lineRule="auto"/>
        <w:rPr>
          <w:rFonts w:ascii="楷体_GB2312" w:eastAsia="楷体_GB2312"/>
          <w:b/>
          <w:color w:val="auto"/>
          <w:sz w:val="40"/>
          <w:szCs w:val="40"/>
          <w:highlight w:val="none"/>
        </w:rPr>
      </w:pPr>
    </w:p>
    <w:p w14:paraId="5AB94BE7">
      <w:pPr>
        <w:pStyle w:val="7"/>
        <w:spacing w:line="360" w:lineRule="auto"/>
        <w:rPr>
          <w:rFonts w:ascii="楷体_GB2312" w:eastAsia="楷体_GB2312"/>
          <w:b/>
          <w:color w:val="auto"/>
          <w:sz w:val="40"/>
          <w:szCs w:val="40"/>
          <w:highlight w:val="none"/>
        </w:rPr>
      </w:pPr>
    </w:p>
    <w:p w14:paraId="2A9355F0">
      <w:pPr>
        <w:pStyle w:val="6"/>
        <w:spacing w:line="360" w:lineRule="auto"/>
        <w:rPr>
          <w:rFonts w:ascii="楷体_GB2312" w:eastAsia="楷体_GB2312"/>
          <w:b/>
          <w:color w:val="auto"/>
          <w:sz w:val="40"/>
          <w:szCs w:val="40"/>
          <w:highlight w:val="none"/>
        </w:rPr>
      </w:pPr>
    </w:p>
    <w:p w14:paraId="68ED7677">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13"/>
        <w:spacing w:line="360" w:lineRule="auto"/>
        <w:rPr>
          <w:rFonts w:ascii="宋体" w:hAnsi="宋体" w:cs="宋体"/>
          <w:b/>
          <w:bCs/>
          <w:color w:val="auto"/>
          <w:sz w:val="28"/>
          <w:szCs w:val="28"/>
          <w:highlight w:val="none"/>
        </w:rPr>
      </w:pPr>
    </w:p>
    <w:p w14:paraId="5329AB93">
      <w:pPr>
        <w:pStyle w:val="35"/>
        <w:spacing w:line="360" w:lineRule="auto"/>
        <w:ind w:firstLine="480"/>
        <w:jc w:val="right"/>
        <w:rPr>
          <w:rFonts w:hint="default" w:ascii="宋体" w:hAnsi="宋体" w:cs="宋体"/>
          <w:color w:val="auto"/>
          <w:sz w:val="24"/>
          <w:szCs w:val="24"/>
          <w:highlight w:val="none"/>
          <w:lang w:eastAsia="zh-CN"/>
        </w:rPr>
      </w:pPr>
    </w:p>
    <w:p w14:paraId="4450A9AB">
      <w:pPr>
        <w:pStyle w:val="35"/>
        <w:spacing w:line="360" w:lineRule="auto"/>
        <w:ind w:firstLine="480"/>
        <w:jc w:val="right"/>
        <w:rPr>
          <w:rFonts w:hint="default" w:ascii="宋体" w:hAnsi="宋体" w:cs="宋体"/>
          <w:color w:val="auto"/>
          <w:sz w:val="24"/>
          <w:szCs w:val="24"/>
          <w:highlight w:val="none"/>
          <w:lang w:eastAsia="zh-CN"/>
        </w:rPr>
      </w:pPr>
    </w:p>
    <w:p w14:paraId="2771A5B9">
      <w:pPr>
        <w:pStyle w:val="35"/>
        <w:spacing w:line="360" w:lineRule="auto"/>
        <w:ind w:firstLine="480"/>
        <w:jc w:val="right"/>
        <w:rPr>
          <w:rFonts w:hint="default" w:ascii="宋体" w:hAnsi="宋体" w:cs="宋体"/>
          <w:color w:val="auto"/>
          <w:sz w:val="24"/>
          <w:szCs w:val="24"/>
          <w:highlight w:val="none"/>
          <w:lang w:eastAsia="zh-CN"/>
        </w:rPr>
      </w:pPr>
    </w:p>
    <w:p w14:paraId="2090BCE7">
      <w:pPr>
        <w:pStyle w:val="35"/>
        <w:spacing w:line="360" w:lineRule="auto"/>
        <w:ind w:firstLine="480"/>
        <w:jc w:val="right"/>
        <w:rPr>
          <w:rFonts w:hint="default" w:ascii="宋体" w:hAnsi="宋体" w:cs="宋体"/>
          <w:color w:val="auto"/>
          <w:sz w:val="24"/>
          <w:szCs w:val="24"/>
          <w:highlight w:val="none"/>
          <w:lang w:eastAsia="zh-CN"/>
        </w:rPr>
      </w:pPr>
    </w:p>
    <w:p w14:paraId="2208D48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7"/>
        <w:spacing w:line="360" w:lineRule="auto"/>
        <w:rPr>
          <w:rFonts w:ascii="楷体_GB2312" w:eastAsia="楷体_GB2312"/>
          <w:b/>
          <w:color w:val="auto"/>
          <w:sz w:val="44"/>
          <w:szCs w:val="44"/>
          <w:highlight w:val="none"/>
        </w:rPr>
      </w:pPr>
    </w:p>
    <w:p w14:paraId="759833BB">
      <w:pPr>
        <w:pStyle w:val="6"/>
        <w:spacing w:line="360" w:lineRule="auto"/>
        <w:rPr>
          <w:rFonts w:ascii="楷体_GB2312" w:eastAsia="楷体_GB2312"/>
          <w:b/>
          <w:color w:val="auto"/>
          <w:sz w:val="44"/>
          <w:szCs w:val="44"/>
          <w:highlight w:val="none"/>
        </w:rPr>
      </w:pPr>
    </w:p>
    <w:p w14:paraId="798D6749">
      <w:pPr>
        <w:pStyle w:val="7"/>
        <w:spacing w:line="360" w:lineRule="auto"/>
        <w:rPr>
          <w:rFonts w:ascii="楷体_GB2312" w:eastAsia="楷体_GB2312"/>
          <w:b/>
          <w:color w:val="auto"/>
          <w:sz w:val="44"/>
          <w:szCs w:val="44"/>
          <w:highlight w:val="none"/>
        </w:rPr>
      </w:pPr>
    </w:p>
    <w:p w14:paraId="279E5D08">
      <w:pPr>
        <w:pStyle w:val="6"/>
        <w:spacing w:line="360" w:lineRule="auto"/>
        <w:rPr>
          <w:rFonts w:ascii="楷体_GB2312" w:eastAsia="楷体_GB2312"/>
          <w:b/>
          <w:color w:val="auto"/>
          <w:sz w:val="44"/>
          <w:szCs w:val="44"/>
          <w:highlight w:val="none"/>
        </w:rPr>
      </w:pPr>
    </w:p>
    <w:p w14:paraId="10B705AE">
      <w:pPr>
        <w:pStyle w:val="7"/>
        <w:spacing w:line="360" w:lineRule="auto"/>
        <w:rPr>
          <w:rFonts w:ascii="楷体_GB2312" w:eastAsia="楷体_GB2312"/>
          <w:b/>
          <w:color w:val="auto"/>
          <w:sz w:val="44"/>
          <w:szCs w:val="44"/>
          <w:highlight w:val="none"/>
        </w:rPr>
      </w:pPr>
    </w:p>
    <w:p w14:paraId="39C7FEC2">
      <w:pPr>
        <w:pStyle w:val="6"/>
        <w:spacing w:line="360" w:lineRule="auto"/>
        <w:rPr>
          <w:color w:val="auto"/>
          <w:highlight w:val="none"/>
        </w:rPr>
      </w:pPr>
    </w:p>
    <w:p w14:paraId="720CD7AA">
      <w:pPr>
        <w:pStyle w:val="7"/>
        <w:spacing w:line="360" w:lineRule="auto"/>
        <w:rPr>
          <w:rFonts w:ascii="楷体_GB2312" w:eastAsia="楷体_GB2312"/>
          <w:b/>
          <w:color w:val="auto"/>
          <w:sz w:val="44"/>
          <w:szCs w:val="44"/>
          <w:highlight w:val="none"/>
        </w:rPr>
      </w:pPr>
    </w:p>
    <w:p w14:paraId="7B4478DC">
      <w:pPr>
        <w:pStyle w:val="6"/>
        <w:spacing w:line="360" w:lineRule="auto"/>
        <w:rPr>
          <w:rFonts w:ascii="楷体_GB2312" w:eastAsia="楷体_GB2312"/>
          <w:b/>
          <w:color w:val="auto"/>
          <w:sz w:val="44"/>
          <w:szCs w:val="44"/>
          <w:highlight w:val="none"/>
        </w:rPr>
      </w:pPr>
    </w:p>
    <w:p w14:paraId="464E176B">
      <w:pPr>
        <w:pStyle w:val="7"/>
        <w:spacing w:line="360" w:lineRule="auto"/>
        <w:rPr>
          <w:rFonts w:ascii="楷体_GB2312" w:eastAsia="楷体_GB2312"/>
          <w:b/>
          <w:color w:val="auto"/>
          <w:sz w:val="44"/>
          <w:szCs w:val="44"/>
          <w:highlight w:val="none"/>
        </w:rPr>
      </w:pPr>
    </w:p>
    <w:p w14:paraId="7FED9A71">
      <w:pPr>
        <w:pStyle w:val="6"/>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30"/>
        <w:spacing w:after="120" w:line="360" w:lineRule="auto"/>
        <w:outlineLvl w:val="9"/>
        <w:rPr>
          <w:rStyle w:val="31"/>
          <w:rFonts w:hAnsi="宋体" w:cs="宋体"/>
          <w:b/>
          <w:bCs/>
          <w:color w:val="auto"/>
          <w:sz w:val="44"/>
          <w:szCs w:val="44"/>
          <w:highlight w:val="none"/>
        </w:rPr>
      </w:pPr>
    </w:p>
    <w:p w14:paraId="035C09F0">
      <w:pPr>
        <w:pStyle w:val="30"/>
        <w:spacing w:after="120" w:line="360" w:lineRule="auto"/>
        <w:jc w:val="center"/>
        <w:outlineLvl w:val="9"/>
        <w:rPr>
          <w:rStyle w:val="31"/>
          <w:rFonts w:hAnsi="宋体" w:cs="宋体"/>
          <w:b/>
          <w:bCs/>
          <w:color w:val="auto"/>
          <w:sz w:val="44"/>
          <w:szCs w:val="44"/>
          <w:highlight w:val="none"/>
        </w:rPr>
      </w:pPr>
      <w:r>
        <w:rPr>
          <w:rStyle w:val="31"/>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3"/>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40"/>
        <w:gridCol w:w="1890"/>
        <w:gridCol w:w="1255"/>
        <w:gridCol w:w="2065"/>
        <w:gridCol w:w="2205"/>
      </w:tblGrid>
      <w:tr w14:paraId="25F8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2" w:type="dxa"/>
            <w:vAlign w:val="center"/>
          </w:tcPr>
          <w:p w14:paraId="6EC853A3">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1040" w:type="dxa"/>
            <w:vAlign w:val="center"/>
          </w:tcPr>
          <w:p w14:paraId="78DDEA58">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890" w:type="dxa"/>
            <w:vAlign w:val="center"/>
          </w:tcPr>
          <w:p w14:paraId="224954FE">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服务名称</w:t>
            </w:r>
          </w:p>
        </w:tc>
        <w:tc>
          <w:tcPr>
            <w:tcW w:w="1255" w:type="dxa"/>
            <w:vAlign w:val="center"/>
          </w:tcPr>
          <w:p w14:paraId="01BA6441">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065" w:type="dxa"/>
            <w:vAlign w:val="center"/>
          </w:tcPr>
          <w:p w14:paraId="38B8ED99">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default" w:hAnsi="宋体" w:eastAsia="宋体"/>
                <w:color w:val="auto"/>
                <w:kern w:val="2"/>
                <w:sz w:val="24"/>
                <w:highlight w:val="none"/>
                <w:lang w:val="en-US" w:eastAsia="zh-CN"/>
              </w:rPr>
              <w:t>交付时间</w:t>
            </w:r>
          </w:p>
        </w:tc>
        <w:tc>
          <w:tcPr>
            <w:tcW w:w="2205" w:type="dxa"/>
            <w:vAlign w:val="center"/>
          </w:tcPr>
          <w:p w14:paraId="58C53318">
            <w:pPr>
              <w:pStyle w:val="9"/>
              <w:snapToGrid w:val="0"/>
              <w:spacing w:line="240" w:lineRule="auto"/>
              <w:ind w:left="-105" w:leftChars="-50" w:right="-105" w:rightChars="-50"/>
              <w:jc w:val="center"/>
              <w:rPr>
                <w:rFonts w:hint="default" w:hAnsi="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0859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962"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40" w:type="dxa"/>
            <w:vAlign w:val="center"/>
          </w:tcPr>
          <w:p w14:paraId="087196A1">
            <w:pPr>
              <w:snapToGrid w:val="0"/>
              <w:spacing w:line="240" w:lineRule="auto"/>
              <w:jc w:val="center"/>
              <w:rPr>
                <w:rFonts w:ascii="宋体" w:hAnsi="宋体"/>
                <w:color w:val="auto"/>
                <w:sz w:val="24"/>
                <w:highlight w:val="none"/>
              </w:rPr>
            </w:pPr>
          </w:p>
        </w:tc>
        <w:tc>
          <w:tcPr>
            <w:tcW w:w="1890" w:type="dxa"/>
            <w:vAlign w:val="center"/>
          </w:tcPr>
          <w:p w14:paraId="62261F02">
            <w:pPr>
              <w:snapToGrid w:val="0"/>
              <w:spacing w:line="240" w:lineRule="auto"/>
              <w:jc w:val="center"/>
              <w:rPr>
                <w:rFonts w:ascii="宋体" w:hAnsi="宋体"/>
                <w:color w:val="auto"/>
                <w:sz w:val="24"/>
                <w:highlight w:val="none"/>
              </w:rPr>
            </w:pPr>
          </w:p>
        </w:tc>
        <w:tc>
          <w:tcPr>
            <w:tcW w:w="1255" w:type="dxa"/>
            <w:vAlign w:val="center"/>
          </w:tcPr>
          <w:p w14:paraId="205748A0">
            <w:pPr>
              <w:snapToGrid w:val="0"/>
              <w:spacing w:line="240" w:lineRule="auto"/>
              <w:jc w:val="center"/>
              <w:rPr>
                <w:rFonts w:ascii="宋体" w:hAnsi="宋体"/>
                <w:color w:val="auto"/>
                <w:sz w:val="24"/>
                <w:highlight w:val="none"/>
              </w:rPr>
            </w:pPr>
          </w:p>
        </w:tc>
        <w:tc>
          <w:tcPr>
            <w:tcW w:w="2065" w:type="dxa"/>
            <w:vAlign w:val="center"/>
          </w:tcPr>
          <w:p w14:paraId="5F9E2280">
            <w:pPr>
              <w:snapToGrid w:val="0"/>
              <w:spacing w:line="240" w:lineRule="auto"/>
              <w:jc w:val="center"/>
              <w:rPr>
                <w:rFonts w:ascii="宋体" w:hAnsi="宋体" w:cs="宋体"/>
                <w:color w:val="auto"/>
                <w:kern w:val="0"/>
                <w:sz w:val="24"/>
                <w:highlight w:val="none"/>
              </w:rPr>
            </w:pPr>
          </w:p>
        </w:tc>
        <w:tc>
          <w:tcPr>
            <w:tcW w:w="2205" w:type="dxa"/>
            <w:vAlign w:val="center"/>
          </w:tcPr>
          <w:p w14:paraId="2F9659AC">
            <w:pPr>
              <w:widowControl/>
              <w:spacing w:line="240" w:lineRule="auto"/>
              <w:jc w:val="left"/>
              <w:rPr>
                <w:rFonts w:ascii="宋体" w:hAnsi="宋体"/>
                <w:color w:val="auto"/>
                <w:sz w:val="24"/>
                <w:highlight w:val="none"/>
              </w:rPr>
            </w:pPr>
          </w:p>
        </w:tc>
      </w:tr>
    </w:tbl>
    <w:p w14:paraId="5FF9CC48">
      <w:pPr>
        <w:pStyle w:val="33"/>
        <w:spacing w:line="360" w:lineRule="auto"/>
        <w:ind w:firstLine="6240" w:firstLineChars="2600"/>
        <w:rPr>
          <w:rFonts w:ascii="宋体" w:hAnsi="宋体"/>
          <w:color w:val="auto"/>
          <w:sz w:val="24"/>
          <w:highlight w:val="none"/>
        </w:rPr>
      </w:pPr>
    </w:p>
    <w:p w14:paraId="75A8CB50">
      <w:pPr>
        <w:pStyle w:val="33"/>
        <w:spacing w:line="360" w:lineRule="auto"/>
        <w:rPr>
          <w:rFonts w:ascii="宋体" w:hAnsi="宋体"/>
          <w:color w:val="auto"/>
          <w:sz w:val="24"/>
          <w:highlight w:val="none"/>
        </w:rPr>
      </w:pPr>
      <w:r>
        <w:rPr>
          <w:rStyle w:val="31"/>
          <w:rFonts w:hint="eastAsia" w:ascii="宋体" w:hAnsi="宋体" w:cs="Times New Roman"/>
          <w:b/>
          <w:bCs/>
          <w:color w:val="auto"/>
          <w:kern w:val="0"/>
          <w:sz w:val="24"/>
          <w:highlight w:val="none"/>
          <w:lang w:val="en-US" w:eastAsia="zh-CN"/>
        </w:rPr>
        <w:t>注：供应商在竞价系统中提交报价时须上传该《报价一览表》</w:t>
      </w:r>
      <w:r>
        <w:rPr>
          <w:rStyle w:val="31"/>
          <w:rFonts w:hint="eastAsia" w:cs="Times New Roman"/>
          <w:b/>
          <w:bCs/>
          <w:color w:val="auto"/>
          <w:kern w:val="0"/>
          <w:sz w:val="24"/>
          <w:highlight w:val="none"/>
          <w:lang w:val="en-US" w:eastAsia="zh-CN"/>
        </w:rPr>
        <w:t>，</w:t>
      </w:r>
      <w:r>
        <w:rPr>
          <w:rStyle w:val="31"/>
          <w:rFonts w:hint="eastAsia" w:ascii="宋体" w:hAnsi="宋体"/>
          <w:b/>
          <w:bCs/>
          <w:color w:val="auto"/>
          <w:kern w:val="0"/>
          <w:sz w:val="24"/>
          <w:highlight w:val="none"/>
          <w:lang w:val="en-US"/>
        </w:rPr>
        <w:t>供应商在竞价系统中提交的最后一次报价（即</w:t>
      </w:r>
      <w:r>
        <w:rPr>
          <w:rStyle w:val="31"/>
          <w:rFonts w:hint="eastAsia" w:ascii="宋体" w:hAnsi="宋体"/>
          <w:b/>
          <w:bCs/>
          <w:color w:val="auto"/>
          <w:kern w:val="0"/>
          <w:sz w:val="24"/>
          <w:highlight w:val="none"/>
        </w:rPr>
        <w:t>最终有效报价</w:t>
      </w:r>
      <w:r>
        <w:rPr>
          <w:rStyle w:val="31"/>
          <w:rFonts w:hint="eastAsia" w:ascii="宋体" w:hAnsi="宋体"/>
          <w:b/>
          <w:bCs/>
          <w:color w:val="auto"/>
          <w:kern w:val="0"/>
          <w:sz w:val="24"/>
          <w:highlight w:val="none"/>
          <w:lang w:val="en-US"/>
        </w:rPr>
        <w:t>）须与最后一次上传附件价格一致</w:t>
      </w:r>
      <w:r>
        <w:rPr>
          <w:rStyle w:val="31"/>
          <w:rFonts w:hint="eastAsia"/>
          <w:b/>
          <w:bCs/>
          <w:color w:val="auto"/>
          <w:kern w:val="0"/>
          <w:sz w:val="24"/>
          <w:highlight w:val="none"/>
          <w:lang w:val="en-US"/>
        </w:rPr>
        <w:t>。</w:t>
      </w:r>
    </w:p>
    <w:p w14:paraId="01F50ACD">
      <w:pPr>
        <w:pStyle w:val="17"/>
        <w:spacing w:before="75" w:beforeAutospacing="0" w:after="75" w:afterAutospacing="0" w:line="360" w:lineRule="auto"/>
        <w:rPr>
          <w:color w:val="auto"/>
          <w:sz w:val="28"/>
          <w:szCs w:val="28"/>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2FECC45F">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2"/>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E7FA8"/>
    <w:rsid w:val="00F36BC9"/>
    <w:rsid w:val="011952D6"/>
    <w:rsid w:val="01DE284B"/>
    <w:rsid w:val="02BC2FB5"/>
    <w:rsid w:val="03511AD9"/>
    <w:rsid w:val="03ED3BD7"/>
    <w:rsid w:val="045E36B4"/>
    <w:rsid w:val="046E6DD0"/>
    <w:rsid w:val="047E5946"/>
    <w:rsid w:val="04C91366"/>
    <w:rsid w:val="05017C52"/>
    <w:rsid w:val="056025B0"/>
    <w:rsid w:val="05B64224"/>
    <w:rsid w:val="061C715B"/>
    <w:rsid w:val="0696261C"/>
    <w:rsid w:val="069E7A64"/>
    <w:rsid w:val="06C453DB"/>
    <w:rsid w:val="07702EBF"/>
    <w:rsid w:val="08293E73"/>
    <w:rsid w:val="0972111F"/>
    <w:rsid w:val="09A06EBC"/>
    <w:rsid w:val="0A482682"/>
    <w:rsid w:val="0AF75143"/>
    <w:rsid w:val="0B043CFB"/>
    <w:rsid w:val="0CA2647A"/>
    <w:rsid w:val="0D2167C4"/>
    <w:rsid w:val="0D2D3085"/>
    <w:rsid w:val="0DAA7832"/>
    <w:rsid w:val="0DD979BE"/>
    <w:rsid w:val="0E0D1416"/>
    <w:rsid w:val="0FBD7DE5"/>
    <w:rsid w:val="10362DC0"/>
    <w:rsid w:val="10CE3388"/>
    <w:rsid w:val="10E42CCD"/>
    <w:rsid w:val="11790FDD"/>
    <w:rsid w:val="11AD4ADB"/>
    <w:rsid w:val="126445BB"/>
    <w:rsid w:val="13F5794E"/>
    <w:rsid w:val="14DD66A2"/>
    <w:rsid w:val="15512530"/>
    <w:rsid w:val="164556E1"/>
    <w:rsid w:val="16810234"/>
    <w:rsid w:val="17254BB9"/>
    <w:rsid w:val="175D4ED0"/>
    <w:rsid w:val="17A728DB"/>
    <w:rsid w:val="192817FA"/>
    <w:rsid w:val="199476C8"/>
    <w:rsid w:val="19C44ADF"/>
    <w:rsid w:val="19F043F2"/>
    <w:rsid w:val="1A0F193E"/>
    <w:rsid w:val="1A512FD2"/>
    <w:rsid w:val="1AA3690C"/>
    <w:rsid w:val="1AC71843"/>
    <w:rsid w:val="1AD364FF"/>
    <w:rsid w:val="1ADE3486"/>
    <w:rsid w:val="1B08700D"/>
    <w:rsid w:val="1B261D69"/>
    <w:rsid w:val="1BF43CB2"/>
    <w:rsid w:val="1C7D1E5D"/>
    <w:rsid w:val="1DAA6E61"/>
    <w:rsid w:val="1E0F3C2B"/>
    <w:rsid w:val="1E2C09AB"/>
    <w:rsid w:val="1E897F61"/>
    <w:rsid w:val="1F1C42EA"/>
    <w:rsid w:val="1F686EFF"/>
    <w:rsid w:val="1F87181B"/>
    <w:rsid w:val="1FB37FF3"/>
    <w:rsid w:val="21150CB8"/>
    <w:rsid w:val="213B2764"/>
    <w:rsid w:val="21657A51"/>
    <w:rsid w:val="22F17F9F"/>
    <w:rsid w:val="23B73EA6"/>
    <w:rsid w:val="23F4427C"/>
    <w:rsid w:val="25333A88"/>
    <w:rsid w:val="25776FB2"/>
    <w:rsid w:val="26B047DC"/>
    <w:rsid w:val="26BD4622"/>
    <w:rsid w:val="26C54B2C"/>
    <w:rsid w:val="27BC5F2F"/>
    <w:rsid w:val="27C42B43"/>
    <w:rsid w:val="28C13F2B"/>
    <w:rsid w:val="292A5ED6"/>
    <w:rsid w:val="2A604980"/>
    <w:rsid w:val="2A727AC6"/>
    <w:rsid w:val="2B5318E1"/>
    <w:rsid w:val="2BCE7FDF"/>
    <w:rsid w:val="2C226920"/>
    <w:rsid w:val="2CC80594"/>
    <w:rsid w:val="2D1F6544"/>
    <w:rsid w:val="2D484F7D"/>
    <w:rsid w:val="2D8017AD"/>
    <w:rsid w:val="2DDE2D69"/>
    <w:rsid w:val="2E1E7D97"/>
    <w:rsid w:val="2EBE2586"/>
    <w:rsid w:val="2ECC1930"/>
    <w:rsid w:val="2F4F4B8D"/>
    <w:rsid w:val="31144260"/>
    <w:rsid w:val="312D39F9"/>
    <w:rsid w:val="31A35457"/>
    <w:rsid w:val="31B67ACD"/>
    <w:rsid w:val="334D7ECB"/>
    <w:rsid w:val="336F02F9"/>
    <w:rsid w:val="33F45566"/>
    <w:rsid w:val="34160775"/>
    <w:rsid w:val="3444677B"/>
    <w:rsid w:val="34EF6DE8"/>
    <w:rsid w:val="3503072C"/>
    <w:rsid w:val="356F257B"/>
    <w:rsid w:val="35786F8C"/>
    <w:rsid w:val="3591710A"/>
    <w:rsid w:val="35E30AE8"/>
    <w:rsid w:val="36F5483C"/>
    <w:rsid w:val="389425B0"/>
    <w:rsid w:val="39137979"/>
    <w:rsid w:val="39524D90"/>
    <w:rsid w:val="3A9D764F"/>
    <w:rsid w:val="3BC31FF0"/>
    <w:rsid w:val="3C271A02"/>
    <w:rsid w:val="3C645618"/>
    <w:rsid w:val="3C65673D"/>
    <w:rsid w:val="3CE851D3"/>
    <w:rsid w:val="3D035E9B"/>
    <w:rsid w:val="3D50551B"/>
    <w:rsid w:val="3D6C7658"/>
    <w:rsid w:val="3DC2628F"/>
    <w:rsid w:val="3DD60AE2"/>
    <w:rsid w:val="3E5C0069"/>
    <w:rsid w:val="3E797AD2"/>
    <w:rsid w:val="3E7A2DAA"/>
    <w:rsid w:val="3E8B1175"/>
    <w:rsid w:val="3EB412B6"/>
    <w:rsid w:val="3F9E5AC2"/>
    <w:rsid w:val="3FAC28BB"/>
    <w:rsid w:val="3FB97B2C"/>
    <w:rsid w:val="40181D19"/>
    <w:rsid w:val="40884CA9"/>
    <w:rsid w:val="40BD676E"/>
    <w:rsid w:val="417E75E8"/>
    <w:rsid w:val="41910115"/>
    <w:rsid w:val="41D908F9"/>
    <w:rsid w:val="438B3EDE"/>
    <w:rsid w:val="44261222"/>
    <w:rsid w:val="4495014D"/>
    <w:rsid w:val="44AD0C2A"/>
    <w:rsid w:val="44F31851"/>
    <w:rsid w:val="45AA573E"/>
    <w:rsid w:val="45B275F5"/>
    <w:rsid w:val="46BC33FE"/>
    <w:rsid w:val="46EE7477"/>
    <w:rsid w:val="47BC0C07"/>
    <w:rsid w:val="47EB4726"/>
    <w:rsid w:val="486D6713"/>
    <w:rsid w:val="489259CA"/>
    <w:rsid w:val="498B3956"/>
    <w:rsid w:val="4A4E42C3"/>
    <w:rsid w:val="4BB0030E"/>
    <w:rsid w:val="4BC53306"/>
    <w:rsid w:val="4C15710C"/>
    <w:rsid w:val="4C2E5FB6"/>
    <w:rsid w:val="4C63431C"/>
    <w:rsid w:val="4C9444D5"/>
    <w:rsid w:val="4CE2174D"/>
    <w:rsid w:val="4D505935"/>
    <w:rsid w:val="4D72372E"/>
    <w:rsid w:val="4E141911"/>
    <w:rsid w:val="4E370E84"/>
    <w:rsid w:val="4EBB778D"/>
    <w:rsid w:val="4F7C19ED"/>
    <w:rsid w:val="4FB142EA"/>
    <w:rsid w:val="506863A4"/>
    <w:rsid w:val="507D6E7C"/>
    <w:rsid w:val="508F27C5"/>
    <w:rsid w:val="50F55D99"/>
    <w:rsid w:val="513814F5"/>
    <w:rsid w:val="513B5867"/>
    <w:rsid w:val="51497716"/>
    <w:rsid w:val="51A30093"/>
    <w:rsid w:val="520457CB"/>
    <w:rsid w:val="522C2C59"/>
    <w:rsid w:val="539774E2"/>
    <w:rsid w:val="53C953AC"/>
    <w:rsid w:val="541A03F5"/>
    <w:rsid w:val="54C5216A"/>
    <w:rsid w:val="54D577A2"/>
    <w:rsid w:val="5527238A"/>
    <w:rsid w:val="55357439"/>
    <w:rsid w:val="56436A5D"/>
    <w:rsid w:val="571B7CCD"/>
    <w:rsid w:val="57286DB3"/>
    <w:rsid w:val="57315742"/>
    <w:rsid w:val="589A572D"/>
    <w:rsid w:val="589B7196"/>
    <w:rsid w:val="58C92DB8"/>
    <w:rsid w:val="590271D1"/>
    <w:rsid w:val="594608FB"/>
    <w:rsid w:val="5A2C4216"/>
    <w:rsid w:val="5A3433AD"/>
    <w:rsid w:val="5A550A07"/>
    <w:rsid w:val="5B761B8D"/>
    <w:rsid w:val="5BC000BF"/>
    <w:rsid w:val="5D01514B"/>
    <w:rsid w:val="5DBA0782"/>
    <w:rsid w:val="5F2D396D"/>
    <w:rsid w:val="60D04179"/>
    <w:rsid w:val="60E47381"/>
    <w:rsid w:val="61C7729B"/>
    <w:rsid w:val="62641034"/>
    <w:rsid w:val="6374691F"/>
    <w:rsid w:val="63BA7B71"/>
    <w:rsid w:val="63BC0257"/>
    <w:rsid w:val="643B2EFE"/>
    <w:rsid w:val="644665A5"/>
    <w:rsid w:val="64CE267E"/>
    <w:rsid w:val="65005919"/>
    <w:rsid w:val="665A019F"/>
    <w:rsid w:val="6672068F"/>
    <w:rsid w:val="66AD46B9"/>
    <w:rsid w:val="670C6B88"/>
    <w:rsid w:val="67BF44A6"/>
    <w:rsid w:val="68975621"/>
    <w:rsid w:val="689F61CC"/>
    <w:rsid w:val="68AC5DD9"/>
    <w:rsid w:val="68C926A3"/>
    <w:rsid w:val="692857E0"/>
    <w:rsid w:val="69935D1A"/>
    <w:rsid w:val="69E70454"/>
    <w:rsid w:val="6A6C5C24"/>
    <w:rsid w:val="6A832AFB"/>
    <w:rsid w:val="6B5E6742"/>
    <w:rsid w:val="6CD40DBF"/>
    <w:rsid w:val="6D0D24E0"/>
    <w:rsid w:val="6D4B5988"/>
    <w:rsid w:val="6DA050EC"/>
    <w:rsid w:val="6DFD21E5"/>
    <w:rsid w:val="6E0440FB"/>
    <w:rsid w:val="6ED44ED9"/>
    <w:rsid w:val="70030FCD"/>
    <w:rsid w:val="703B20B6"/>
    <w:rsid w:val="724A1DFC"/>
    <w:rsid w:val="72845AC6"/>
    <w:rsid w:val="72916AD9"/>
    <w:rsid w:val="72F8490A"/>
    <w:rsid w:val="73D239B1"/>
    <w:rsid w:val="73ED08CD"/>
    <w:rsid w:val="73F676A0"/>
    <w:rsid w:val="74120755"/>
    <w:rsid w:val="745C662B"/>
    <w:rsid w:val="74B308B5"/>
    <w:rsid w:val="75247769"/>
    <w:rsid w:val="753F0E71"/>
    <w:rsid w:val="75577977"/>
    <w:rsid w:val="75645785"/>
    <w:rsid w:val="75716A92"/>
    <w:rsid w:val="758D2516"/>
    <w:rsid w:val="7599235F"/>
    <w:rsid w:val="75AE2AF5"/>
    <w:rsid w:val="75BD7F3E"/>
    <w:rsid w:val="7858402F"/>
    <w:rsid w:val="78D50787"/>
    <w:rsid w:val="78EE5436"/>
    <w:rsid w:val="79B17807"/>
    <w:rsid w:val="79FE2EB5"/>
    <w:rsid w:val="7AE26EA4"/>
    <w:rsid w:val="7B8F04A8"/>
    <w:rsid w:val="7C95557C"/>
    <w:rsid w:val="7D3A4490"/>
    <w:rsid w:val="7D3F0A9F"/>
    <w:rsid w:val="7DC41D70"/>
    <w:rsid w:val="7F034C8E"/>
    <w:rsid w:val="7F45035F"/>
    <w:rsid w:val="7FA01934"/>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5"/>
    <w:autoRedefine/>
    <w:unhideWhenUsed/>
    <w:qFormat/>
    <w:uiPriority w:val="9"/>
    <w:pPr>
      <w:keepNext/>
      <w:keepLines/>
      <w:spacing w:before="260" w:after="260" w:line="416" w:lineRule="auto"/>
      <w:outlineLvl w:val="2"/>
    </w:pPr>
    <w:rPr>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5">
    <w:name w:val="Body Text"/>
    <w:basedOn w:val="1"/>
    <w:autoRedefine/>
    <w:qFormat/>
    <w:uiPriority w:val="0"/>
    <w:pPr>
      <w:spacing w:after="120"/>
    </w:pPr>
  </w:style>
  <w:style w:type="paragraph" w:styleId="6">
    <w:name w:val="Normal Indent"/>
    <w:basedOn w:val="1"/>
    <w:next w:val="7"/>
    <w:autoRedefine/>
    <w:qFormat/>
    <w:uiPriority w:val="0"/>
    <w:pPr>
      <w:ind w:firstLine="420"/>
    </w:pPr>
    <w:rPr>
      <w:szCs w:val="20"/>
    </w:rPr>
  </w:style>
  <w:style w:type="paragraph" w:styleId="7">
    <w:name w:val="Body Text Indent"/>
    <w:basedOn w:val="1"/>
    <w:autoRedefine/>
    <w:qFormat/>
    <w:uiPriority w:val="0"/>
    <w:pPr>
      <w:spacing w:after="120"/>
      <w:ind w:left="420" w:leftChars="200"/>
    </w:pPr>
  </w:style>
  <w:style w:type="paragraph" w:styleId="8">
    <w:name w:val="annotation text"/>
    <w:basedOn w:val="1"/>
    <w:autoRedefine/>
    <w:qFormat/>
    <w:uiPriority w:val="0"/>
    <w:pPr>
      <w:jc w:val="left"/>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7"/>
    <w:autoRedefine/>
    <w:qFormat/>
    <w:uiPriority w:val="0"/>
    <w:rPr>
      <w:sz w:val="18"/>
      <w:szCs w:val="18"/>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5"/>
    <w:autoRedefine/>
    <w:qFormat/>
    <w:uiPriority w:val="0"/>
    <w:pPr>
      <w:ind w:firstLine="420" w:firstLineChars="100"/>
    </w:pPr>
    <w:rPr>
      <w:rFonts w:ascii="Times New Roman" w:hAnsi="Times New Roman"/>
      <w:szCs w:val="20"/>
    </w:rPr>
  </w:style>
  <w:style w:type="paragraph" w:styleId="21">
    <w:name w:val="Body Text First Indent 2"/>
    <w:basedOn w:val="1"/>
    <w:next w:val="1"/>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Body Text First Indent 21"/>
    <w:basedOn w:val="29"/>
    <w:qFormat/>
    <w:uiPriority w:val="0"/>
    <w:pPr>
      <w:spacing w:line="340" w:lineRule="exact"/>
      <w:ind w:right="-139" w:hanging="26" w:hangingChars="26"/>
    </w:pPr>
    <w:rPr>
      <w:rFonts w:ascii="华文中宋" w:hAnsi="华文中宋" w:eastAsia="华文中宋"/>
      <w:sz w:val="24"/>
      <w:szCs w:val="20"/>
    </w:rPr>
  </w:style>
  <w:style w:type="paragraph" w:customStyle="1" w:styleId="29">
    <w:name w:val="Body Text Indent1"/>
    <w:basedOn w:val="1"/>
    <w:qFormat/>
    <w:uiPriority w:val="0"/>
    <w:pPr>
      <w:ind w:left="420" w:leftChars="200"/>
    </w:pPr>
  </w:style>
  <w:style w:type="paragraph" w:customStyle="1" w:styleId="30">
    <w:name w:val="样式3"/>
    <w:basedOn w:val="9"/>
    <w:autoRedefine/>
    <w:qFormat/>
    <w:uiPriority w:val="0"/>
    <w:pPr>
      <w:spacing w:line="0" w:lineRule="atLeast"/>
      <w:outlineLvl w:val="0"/>
    </w:pPr>
    <w:rPr>
      <w:sz w:val="28"/>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converted-space"/>
    <w:autoRedefine/>
    <w:qFormat/>
    <w:uiPriority w:val="0"/>
    <w:rPr>
      <w:rFonts w:ascii="Times New Roman" w:hAnsi="Times New Roman" w:eastAsia="宋体" w:cs="Times New Roman"/>
    </w:rPr>
  </w:style>
  <w:style w:type="paragraph" w:customStyle="1" w:styleId="35">
    <w:name w:val="null3"/>
    <w:autoRedefine/>
    <w:qFormat/>
    <w:uiPriority w:val="0"/>
    <w:rPr>
      <w:rFonts w:hint="eastAsia" w:ascii="Calibri" w:hAnsi="Calibri" w:eastAsia="宋体" w:cs="Times New Roman"/>
      <w:lang w:val="en-US" w:eastAsia="zh-CN" w:bidi="ar-SA"/>
    </w:rPr>
  </w:style>
  <w:style w:type="character" w:customStyle="1" w:styleId="36">
    <w:name w:val="页眉 Char"/>
    <w:basedOn w:val="24"/>
    <w:link w:val="14"/>
    <w:autoRedefine/>
    <w:qFormat/>
    <w:uiPriority w:val="0"/>
    <w:rPr>
      <w:rFonts w:ascii="Calibri" w:hAnsi="Calibri"/>
      <w:kern w:val="2"/>
      <w:sz w:val="18"/>
      <w:szCs w:val="18"/>
    </w:rPr>
  </w:style>
  <w:style w:type="character" w:customStyle="1" w:styleId="37">
    <w:name w:val="批注框文本 Char"/>
    <w:basedOn w:val="24"/>
    <w:link w:val="11"/>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10794</Words>
  <Characters>11565</Characters>
  <Lines>186</Lines>
  <Paragraphs>52</Paragraphs>
  <TotalTime>4</TotalTime>
  <ScaleCrop>false</ScaleCrop>
  <LinksUpToDate>false</LinksUpToDate>
  <CharactersWithSpaces>11874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2025-12-09T06:30:24Z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117FBD630D48493D8237F03B71A220C2_13</vt:lpwstr>
  </property>
  <property fmtid="{D5CDD505-2E9C-101B-9397-08002B2CF9AE}" pid="4" name="KSOTemplateDocerSaveRecord">
    <vt:lpwstr>eyJoZGlkIjoiMzNlMTg1ZmRhMjJhMzI1NTNjZGIzMDVkMDhlZjg2ZmMiLCJ1c2VySWQiOiI2MTM2Nzk1NDkifQ==</vt:lpwstr>
  </property>
</Properties>
</file>