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JJZB-WJ-2025034</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val="en-US" w:eastAsia="zh-CN"/>
        </w:rPr>
        <w:t>福州职业技术学院基于</w:t>
      </w:r>
      <w:r>
        <w:rPr>
          <w:rFonts w:hint="eastAsia" w:hAnsi="宋体"/>
          <w:b/>
          <w:color w:val="auto"/>
          <w:sz w:val="32"/>
          <w:szCs w:val="32"/>
          <w:highlight w:val="none"/>
          <w:lang w:eastAsia="zh-CN"/>
        </w:rPr>
        <w:t>智慧农业环境监测与智能灌溉物联网系统的虚拟仿真实验系统采购项目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十二</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eastAsia="宋体" w:cs="宋体"/>
          <w:b/>
          <w:bCs/>
          <w:color w:val="auto"/>
          <w:kern w:val="0"/>
          <w:sz w:val="24"/>
          <w:highlight w:val="none"/>
          <w:u w:val="single"/>
        </w:rPr>
        <w:t>福州职业技术学院基于智慧农业环境监测与智能灌溉物联网系统的虚拟仿真实验系统采购项目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JJZB-WJ-2025034</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eastAsia="宋体" w:cs="宋体"/>
          <w:b/>
          <w:bCs/>
          <w:color w:val="auto"/>
          <w:kern w:val="0"/>
          <w:sz w:val="24"/>
          <w:highlight w:val="none"/>
          <w:u w:val="single"/>
        </w:rPr>
        <w:t>福州职业技术学院基于智慧农业环境监测与智能灌溉物联网系统的虚拟仿真实验系统采购项目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259A5A7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日08:30:00</w:t>
      </w:r>
    </w:p>
    <w:p w14:paraId="6DA07D9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日17:00:00</w:t>
      </w:r>
    </w:p>
    <w:p w14:paraId="09FFF179">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日09:00:00</w:t>
      </w:r>
    </w:p>
    <w:p w14:paraId="76AEF97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日11:00:00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bookmarkStart w:id="8" w:name="_GoBack"/>
      <w:bookmarkEnd w:id="8"/>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widowControl w:val="0"/>
        <w:kinsoku/>
        <w:wordWrap/>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 xml:space="preserve">邓盈  15959001508   </w:t>
      </w:r>
      <w:r>
        <w:rPr>
          <w:rFonts w:hint="eastAsia" w:ascii="宋体" w:hAnsi="宋体" w:eastAsia="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供应商在竞价系统中提交报价时须上传《报价一览表》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8016816"/>
      <w:bookmarkStart w:id="2" w:name="_Toc359317661"/>
      <w:bookmarkStart w:id="3" w:name="_Toc327948617"/>
      <w:bookmarkStart w:id="4" w:name="_Toc330567034"/>
      <w:bookmarkStart w:id="5" w:name="_Toc347060296"/>
      <w:bookmarkStart w:id="6" w:name="_Toc346300367"/>
      <w:r>
        <w:rPr>
          <w:rFonts w:hint="eastAsia" w:ascii="宋体" w:hAnsi="宋体" w:cs="宋体"/>
          <w:b/>
          <w:color w:val="auto"/>
          <w:sz w:val="24"/>
          <w:szCs w:val="24"/>
          <w:highlight w:val="none"/>
        </w:rPr>
        <w:t>一、项目概述</w:t>
      </w:r>
      <w:bookmarkEnd w:id="1"/>
      <w:bookmarkEnd w:id="2"/>
    </w:p>
    <w:p w14:paraId="0A3C5EDD">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智慧农业环境监测与智能灌溉物联网系统”系福州职业技术学院横向科研项目，本次需采购一套虚拟仿真实验系统，采购要求服务商①根据采购人提供的开发要求，开发该系统相应的模块。②与硬件匹配的软件的研发。</w:t>
      </w:r>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67"/>
        <w:gridCol w:w="2236"/>
        <w:gridCol w:w="927"/>
        <w:gridCol w:w="1787"/>
        <w:gridCol w:w="1790"/>
        <w:gridCol w:w="129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服务名称</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基于智慧农业环境监测与智能灌溉物联网系统的虚拟仿真实验系统</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自签订合同之日起15日内交付完成</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95000.00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3483353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供应商报价应包含本次项目所涉及到的所有费用，包括</w:t>
      </w:r>
      <w:r>
        <w:rPr>
          <w:rFonts w:hint="eastAsia" w:ascii="宋体" w:hAnsi="宋体" w:cs="宋体"/>
          <w:color w:val="auto"/>
          <w:kern w:val="0"/>
          <w:sz w:val="24"/>
          <w:szCs w:val="24"/>
          <w:highlight w:val="none"/>
          <w:lang w:val="en-US" w:eastAsia="zh-CN" w:bidi="ar-SA"/>
        </w:rPr>
        <w:t>但不限于</w:t>
      </w:r>
      <w:r>
        <w:rPr>
          <w:rFonts w:hint="eastAsia" w:ascii="宋体" w:hAnsi="宋体" w:eastAsia="宋体" w:cs="宋体"/>
          <w:color w:val="auto"/>
          <w:kern w:val="0"/>
          <w:sz w:val="24"/>
          <w:szCs w:val="24"/>
          <w:highlight w:val="none"/>
          <w:lang w:val="en-US" w:eastAsia="zh-CN" w:bidi="ar-SA"/>
        </w:rPr>
        <w:t>：系统研发费、</w:t>
      </w:r>
      <w:r>
        <w:rPr>
          <w:rFonts w:hint="eastAsia" w:ascii="宋体" w:hAnsi="宋体" w:cs="宋体"/>
          <w:color w:val="auto"/>
          <w:kern w:val="0"/>
          <w:sz w:val="24"/>
          <w:szCs w:val="24"/>
          <w:highlight w:val="none"/>
          <w:lang w:val="en-US" w:eastAsia="zh-CN" w:bidi="ar-SA"/>
        </w:rPr>
        <w:t>安装调试费、培训</w:t>
      </w:r>
      <w:r>
        <w:rPr>
          <w:rFonts w:hint="eastAsia" w:ascii="宋体" w:hAnsi="宋体" w:eastAsia="宋体" w:cs="宋体"/>
          <w:color w:val="auto"/>
          <w:kern w:val="0"/>
          <w:sz w:val="24"/>
          <w:szCs w:val="24"/>
          <w:highlight w:val="none"/>
          <w:lang w:val="en-US" w:eastAsia="zh-CN" w:bidi="ar-SA"/>
        </w:rPr>
        <w:t>费、系统维护费、税费</w:t>
      </w:r>
      <w:r>
        <w:rPr>
          <w:rFonts w:hint="eastAsia" w:ascii="宋体" w:hAnsi="宋体" w:cs="宋体"/>
          <w:color w:val="auto"/>
          <w:kern w:val="0"/>
          <w:sz w:val="24"/>
          <w:szCs w:val="24"/>
          <w:highlight w:val="none"/>
          <w:lang w:val="en-US" w:eastAsia="zh-CN" w:bidi="ar-SA"/>
        </w:rPr>
        <w:t>等</w:t>
      </w:r>
      <w:r>
        <w:rPr>
          <w:rFonts w:hint="eastAsia" w:ascii="宋体" w:hAnsi="宋体" w:eastAsia="宋体" w:cs="宋体"/>
          <w:color w:val="auto"/>
          <w:kern w:val="0"/>
          <w:sz w:val="24"/>
          <w:szCs w:val="24"/>
          <w:highlight w:val="none"/>
          <w:lang w:val="en-US" w:eastAsia="zh-CN" w:bidi="ar-SA"/>
        </w:rPr>
        <w:t>。</w:t>
      </w:r>
    </w:p>
    <w:p w14:paraId="442EA31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2"/>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5"/>
        <w:gridCol w:w="1253"/>
        <w:gridCol w:w="4884"/>
        <w:gridCol w:w="551"/>
        <w:gridCol w:w="612"/>
        <w:gridCol w:w="760"/>
        <w:gridCol w:w="854"/>
      </w:tblGrid>
      <w:tr w14:paraId="0176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5" w:type="dxa"/>
            <w:vAlign w:val="center"/>
          </w:tcPr>
          <w:p w14:paraId="0ADCF9F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序号</w:t>
            </w:r>
          </w:p>
        </w:tc>
        <w:tc>
          <w:tcPr>
            <w:tcW w:w="1253" w:type="dxa"/>
            <w:vAlign w:val="center"/>
          </w:tcPr>
          <w:p w14:paraId="5239E99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服务项目</w:t>
            </w:r>
          </w:p>
        </w:tc>
        <w:tc>
          <w:tcPr>
            <w:tcW w:w="4884" w:type="dxa"/>
            <w:vAlign w:val="center"/>
          </w:tcPr>
          <w:p w14:paraId="4233A2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服务内容</w:t>
            </w:r>
          </w:p>
        </w:tc>
        <w:tc>
          <w:tcPr>
            <w:tcW w:w="551" w:type="dxa"/>
            <w:vAlign w:val="center"/>
          </w:tcPr>
          <w:p w14:paraId="5719DA0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数量</w:t>
            </w:r>
          </w:p>
        </w:tc>
        <w:tc>
          <w:tcPr>
            <w:tcW w:w="612" w:type="dxa"/>
            <w:vAlign w:val="center"/>
          </w:tcPr>
          <w:p w14:paraId="48C1962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单位</w:t>
            </w:r>
          </w:p>
        </w:tc>
        <w:tc>
          <w:tcPr>
            <w:tcW w:w="760" w:type="dxa"/>
            <w:vAlign w:val="center"/>
          </w:tcPr>
          <w:p w14:paraId="5D2B511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单价最高限价（元）</w:t>
            </w:r>
          </w:p>
        </w:tc>
        <w:tc>
          <w:tcPr>
            <w:tcW w:w="854" w:type="dxa"/>
            <w:vAlign w:val="center"/>
          </w:tcPr>
          <w:p w14:paraId="0AA2838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总价最高限价（元）</w:t>
            </w:r>
          </w:p>
        </w:tc>
      </w:tr>
      <w:tr w14:paraId="65F4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5" w:type="dxa"/>
            <w:vAlign w:val="center"/>
          </w:tcPr>
          <w:p w14:paraId="52F045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53" w:type="dxa"/>
            <w:vAlign w:val="center"/>
          </w:tcPr>
          <w:p w14:paraId="7D739E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虚拟仿真基础软件</w:t>
            </w:r>
          </w:p>
        </w:tc>
        <w:tc>
          <w:tcPr>
            <w:tcW w:w="4884" w:type="dxa"/>
            <w:vAlign w:val="center"/>
          </w:tcPr>
          <w:p w14:paraId="12754C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登录界面开发：支持师生账号登录及角色权限区分（管理员/教师/学生）；</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课前预习测验：设计10道选择题（涵盖传感器原理、系统架构、灌溉决策逻辑），测验结果同步至实验报告；</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核心实验模块：包含环境感知层部署、数据传输层配置、应用层智能决策三个可交互模块，支持流程优化调整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系统架构虚拟拆装：支持拖拽操作搭建感知层-传输层-应用层连接关系并验证合理性。</w:t>
            </w:r>
          </w:p>
        </w:tc>
        <w:tc>
          <w:tcPr>
            <w:tcW w:w="551" w:type="dxa"/>
            <w:vAlign w:val="center"/>
          </w:tcPr>
          <w:p w14:paraId="68767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12" w:type="dxa"/>
            <w:vAlign w:val="center"/>
          </w:tcPr>
          <w:p w14:paraId="5F5010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60" w:type="dxa"/>
            <w:vAlign w:val="center"/>
          </w:tcPr>
          <w:p w14:paraId="25F27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45</w:t>
            </w:r>
            <w:r>
              <w:rPr>
                <w:rFonts w:hint="eastAsia" w:asciiTheme="minorEastAsia" w:hAnsiTheme="minorEastAsia" w:eastAsiaTheme="minorEastAsia" w:cstheme="minorEastAsia"/>
                <w:sz w:val="24"/>
                <w:szCs w:val="24"/>
              </w:rPr>
              <w:t>000</w:t>
            </w:r>
          </w:p>
        </w:tc>
        <w:tc>
          <w:tcPr>
            <w:tcW w:w="854" w:type="dxa"/>
            <w:vAlign w:val="center"/>
          </w:tcPr>
          <w:p w14:paraId="35308D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45</w:t>
            </w:r>
            <w:r>
              <w:rPr>
                <w:rFonts w:hint="eastAsia" w:asciiTheme="minorEastAsia" w:hAnsiTheme="minorEastAsia" w:eastAsiaTheme="minorEastAsia" w:cstheme="minorEastAsia"/>
                <w:sz w:val="24"/>
                <w:szCs w:val="24"/>
              </w:rPr>
              <w:t>000</w:t>
            </w:r>
          </w:p>
        </w:tc>
      </w:tr>
      <w:tr w14:paraId="2E75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5" w:type="dxa"/>
            <w:vAlign w:val="center"/>
          </w:tcPr>
          <w:p w14:paraId="712108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53" w:type="dxa"/>
            <w:vAlign w:val="center"/>
          </w:tcPr>
          <w:p w14:paraId="555B2A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传感器与传输实验模块</w:t>
            </w:r>
          </w:p>
        </w:tc>
        <w:tc>
          <w:tcPr>
            <w:tcW w:w="4884" w:type="dxa"/>
            <w:vAlign w:val="center"/>
          </w:tcPr>
          <w:p w14:paraId="5F820A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气温湿度传感器（温度±0.3℃）参数</w:t>
            </w:r>
            <w:r>
              <w:rPr>
                <w:rFonts w:hint="eastAsia" w:asciiTheme="minorEastAsia" w:hAnsiTheme="minorEastAsia" w:eastAsiaTheme="minorEastAsia" w:cstheme="minorEastAsia"/>
                <w:sz w:val="24"/>
                <w:szCs w:val="24"/>
                <w:lang w:val="en-US" w:eastAsia="zh-CN"/>
              </w:rPr>
              <w:t>要求；</w:t>
            </w:r>
          </w:p>
          <w:p w14:paraId="7E841E5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传感器参数配置：支持土壤湿度传感器（精度±2%）、空样频率1-60秒可调；</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传输模式切换：模拟5G/WIFI双模式（5G延迟≤20ms/WIFI延迟≤10ms），支持IP地址配置及数据丢包率观测；</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异常报警处理：土壤湿度＜20%触发短信/APP报警，支持“远程启动备用灌溉”或“现场排查传感器”操作。</w:t>
            </w:r>
          </w:p>
        </w:tc>
        <w:tc>
          <w:tcPr>
            <w:tcW w:w="551" w:type="dxa"/>
            <w:vAlign w:val="center"/>
          </w:tcPr>
          <w:p w14:paraId="51495A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12" w:type="dxa"/>
            <w:vAlign w:val="center"/>
          </w:tcPr>
          <w:p w14:paraId="71207A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60" w:type="dxa"/>
            <w:vAlign w:val="center"/>
          </w:tcPr>
          <w:p w14:paraId="603085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30</w:t>
            </w:r>
            <w:r>
              <w:rPr>
                <w:rFonts w:hint="eastAsia" w:asciiTheme="minorEastAsia" w:hAnsiTheme="minorEastAsia" w:eastAsiaTheme="minorEastAsia" w:cstheme="minorEastAsia"/>
                <w:sz w:val="24"/>
                <w:szCs w:val="24"/>
              </w:rPr>
              <w:t>000</w:t>
            </w:r>
          </w:p>
        </w:tc>
        <w:tc>
          <w:tcPr>
            <w:tcW w:w="854" w:type="dxa"/>
            <w:vAlign w:val="center"/>
          </w:tcPr>
          <w:p w14:paraId="28732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30</w:t>
            </w:r>
            <w:r>
              <w:rPr>
                <w:rFonts w:hint="eastAsia" w:asciiTheme="minorEastAsia" w:hAnsiTheme="minorEastAsia" w:eastAsiaTheme="minorEastAsia" w:cstheme="minorEastAsia"/>
                <w:sz w:val="24"/>
                <w:szCs w:val="24"/>
              </w:rPr>
              <w:t>000</w:t>
            </w:r>
          </w:p>
        </w:tc>
      </w:tr>
      <w:tr w14:paraId="6542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5" w:type="dxa"/>
            <w:vAlign w:val="center"/>
          </w:tcPr>
          <w:p w14:paraId="4D6B54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53" w:type="dxa"/>
            <w:vAlign w:val="center"/>
          </w:tcPr>
          <w:p w14:paraId="4A9393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数据可视化与决策模块</w:t>
            </w:r>
          </w:p>
        </w:tc>
        <w:tc>
          <w:tcPr>
            <w:tcW w:w="4884" w:type="dxa"/>
            <w:vAlign w:val="center"/>
          </w:tcPr>
          <w:p w14:paraId="0F6D66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智能灌溉决策生成：加载番茄作物需水模型，输入土壤湿度、光照强度生成灌溉时长及流量，支持阈值手动调整；</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数据可视化对比：导入历史数据生成对比图表，计算RMSD值分析区域差异；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天气集成功能：接入实时天气预报，降水概率＞60%时自动延迟灌溉。</w:t>
            </w:r>
          </w:p>
        </w:tc>
        <w:tc>
          <w:tcPr>
            <w:tcW w:w="551" w:type="dxa"/>
            <w:vAlign w:val="center"/>
          </w:tcPr>
          <w:p w14:paraId="1B0E6F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12" w:type="dxa"/>
            <w:vAlign w:val="center"/>
          </w:tcPr>
          <w:p w14:paraId="31DA3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60" w:type="dxa"/>
            <w:vAlign w:val="center"/>
          </w:tcPr>
          <w:p w14:paraId="0152AF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000</w:t>
            </w:r>
          </w:p>
        </w:tc>
        <w:tc>
          <w:tcPr>
            <w:tcW w:w="854" w:type="dxa"/>
            <w:vAlign w:val="center"/>
          </w:tcPr>
          <w:p w14:paraId="68DC7F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000</w:t>
            </w:r>
          </w:p>
        </w:tc>
      </w:tr>
      <w:tr w14:paraId="1DB1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05" w:type="dxa"/>
            <w:gridSpan w:val="6"/>
            <w:vAlign w:val="center"/>
          </w:tcPr>
          <w:p w14:paraId="19487E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合计</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元</w:t>
            </w:r>
            <w:r>
              <w:rPr>
                <w:rFonts w:hint="eastAsia" w:asciiTheme="minorEastAsia" w:hAnsiTheme="minorEastAsia" w:eastAsiaTheme="minorEastAsia" w:cstheme="minorEastAsia"/>
                <w:b/>
                <w:sz w:val="24"/>
                <w:szCs w:val="24"/>
                <w:lang w:eastAsia="zh-CN"/>
              </w:rPr>
              <w:t>）</w:t>
            </w:r>
          </w:p>
        </w:tc>
        <w:tc>
          <w:tcPr>
            <w:tcW w:w="854" w:type="dxa"/>
            <w:vAlign w:val="center"/>
          </w:tcPr>
          <w:p w14:paraId="0591A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bCs/>
                <w:sz w:val="24"/>
                <w:szCs w:val="24"/>
                <w:lang w:val="en-US" w:eastAsia="zh-CN"/>
              </w:rPr>
              <w:t>95</w:t>
            </w:r>
            <w:r>
              <w:rPr>
                <w:rFonts w:hint="eastAsia" w:asciiTheme="minorEastAsia" w:hAnsiTheme="minorEastAsia" w:eastAsiaTheme="minorEastAsia" w:cstheme="minorEastAsia"/>
                <w:b w:val="0"/>
                <w:bCs/>
                <w:sz w:val="24"/>
                <w:szCs w:val="24"/>
              </w:rPr>
              <w:t>000</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sz w:val="24"/>
          <w:szCs w:val="24"/>
        </w:rPr>
        <w:t>福州职业技术学院</w:t>
      </w:r>
      <w:r>
        <w:rPr>
          <w:rFonts w:hint="eastAsia" w:ascii="宋体" w:hAnsi="宋体" w:cs="宋体"/>
          <w:sz w:val="24"/>
          <w:szCs w:val="24"/>
          <w:lang w:eastAsia="zh-CN"/>
        </w:rPr>
        <w:t>（</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cs="宋体"/>
          <w:sz w:val="24"/>
          <w:szCs w:val="24"/>
          <w:lang w:eastAsia="zh-CN"/>
        </w:rPr>
        <w:t>）</w:t>
      </w:r>
      <w:r>
        <w:rPr>
          <w:rFonts w:hint="eastAsia" w:ascii="宋体" w:hAnsi="宋体" w:eastAsia="宋体" w:cs="宋体"/>
          <w:b w:val="0"/>
          <w:bCs w:val="0"/>
          <w:color w:val="auto"/>
          <w:kern w:val="0"/>
          <w:sz w:val="24"/>
          <w:szCs w:val="24"/>
          <w:highlight w:val="none"/>
        </w:rPr>
        <w:t>。</w:t>
      </w:r>
    </w:p>
    <w:p w14:paraId="6AF46AF8">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、交付时间</w:t>
      </w:r>
      <w:r>
        <w:rPr>
          <w:rFonts w:hint="eastAsia" w:ascii="宋体" w:hAnsi="宋体" w:eastAsia="宋体" w:cs="宋体"/>
          <w:b/>
          <w:bCs/>
          <w:color w:val="auto"/>
          <w:kern w:val="0"/>
          <w:sz w:val="24"/>
          <w:szCs w:val="24"/>
          <w:highlight w:val="none"/>
        </w:rPr>
        <w:t>：</w:t>
      </w:r>
      <w:r>
        <w:rPr>
          <w:rFonts w:hint="eastAsia" w:ascii="宋体" w:hAnsi="宋体"/>
          <w:b w:val="0"/>
          <w:bCs w:val="0"/>
          <w:color w:val="auto"/>
          <w:kern w:val="0"/>
          <w:sz w:val="24"/>
          <w:szCs w:val="24"/>
          <w:highlight w:val="none"/>
          <w:lang w:val="en-US" w:eastAsia="zh-CN"/>
        </w:rPr>
        <w:t>自签订合同之日起15日内交付完成</w:t>
      </w:r>
      <w:r>
        <w:rPr>
          <w:rFonts w:hint="eastAsia" w:ascii="宋体" w:hAnsi="宋体" w:eastAsia="宋体" w:cs="宋体"/>
          <w:b w:val="0"/>
          <w:bCs w:val="0"/>
          <w:color w:val="auto"/>
          <w:kern w:val="0"/>
          <w:sz w:val="24"/>
          <w:szCs w:val="24"/>
          <w:highlight w:val="none"/>
          <w:lang w:val="en-US" w:eastAsia="zh-CN"/>
        </w:rPr>
        <w:t>。</w:t>
      </w:r>
    </w:p>
    <w:p w14:paraId="56FD805B">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r>
        <w:rPr>
          <w:rFonts w:hint="eastAsia" w:ascii="宋体" w:hAnsi="宋体" w:cs="宋体"/>
          <w:b w:val="0"/>
          <w:bCs w:val="0"/>
          <w:color w:val="auto"/>
          <w:kern w:val="0"/>
          <w:sz w:val="24"/>
          <w:szCs w:val="24"/>
          <w:highlight w:val="none"/>
          <w:lang w:val="en-US" w:eastAsia="zh-CN" w:bidi="ar-SA"/>
        </w:rPr>
        <w:t>。</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经采购人验收合格后，</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个工作日内</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rPr>
        <w:t>凭收讫验收凭证和验收合格文件等材料以转账方式向</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rPr>
        <w:t>供应商一次性支付</w:t>
      </w:r>
      <w:r>
        <w:rPr>
          <w:rFonts w:hint="eastAsia" w:ascii="宋体" w:hAnsi="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rPr>
        <w:t>的</w:t>
      </w:r>
      <w:r>
        <w:rPr>
          <w:rFonts w:hint="eastAsia" w:ascii="宋体" w:hAnsi="宋体" w:cs="宋体"/>
          <w:b w:val="0"/>
          <w:bCs w:val="0"/>
          <w:color w:val="auto"/>
          <w:sz w:val="24"/>
          <w:szCs w:val="24"/>
          <w:highlight w:val="none"/>
          <w:lang w:val="en-US" w:eastAsia="zh-CN"/>
        </w:rPr>
        <w:t>合同</w:t>
      </w:r>
      <w:r>
        <w:rPr>
          <w:rFonts w:hint="eastAsia" w:ascii="宋体" w:hAnsi="宋体" w:eastAsia="宋体" w:cs="宋体"/>
          <w:b w:val="0"/>
          <w:bCs w:val="0"/>
          <w:color w:val="auto"/>
          <w:sz w:val="24"/>
          <w:szCs w:val="24"/>
          <w:highlight w:val="none"/>
        </w:rPr>
        <w:t>价款</w:t>
      </w:r>
      <w:r>
        <w:rPr>
          <w:rFonts w:hint="eastAsia" w:ascii="宋体" w:hAnsi="宋体" w:eastAsia="宋体" w:cs="宋体"/>
          <w:b w:val="0"/>
          <w:bCs w:val="0"/>
          <w:color w:val="auto"/>
          <w:kern w:val="0"/>
          <w:sz w:val="24"/>
          <w:szCs w:val="24"/>
          <w:highlight w:val="none"/>
          <w:lang w:val="en-US" w:eastAsia="zh-CN" w:bidi="ar-SA"/>
        </w:rPr>
        <w:t>。</w:t>
      </w:r>
    </w:p>
    <w:p w14:paraId="240C18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cs="宋体"/>
          <w:b w:val="0"/>
          <w:bCs w:val="0"/>
          <w:color w:val="auto"/>
          <w:kern w:val="0"/>
          <w:sz w:val="24"/>
          <w:szCs w:val="24"/>
          <w:highlight w:val="none"/>
          <w:lang w:val="en-US" w:eastAsia="zh-CN" w:bidi="ar-SA"/>
        </w:rPr>
        <w:t>不缴纳。</w:t>
      </w:r>
    </w:p>
    <w:p w14:paraId="06DEF4E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cs="宋体"/>
          <w:b/>
          <w:bCs/>
          <w:kern w:val="2"/>
          <w:sz w:val="24"/>
          <w:szCs w:val="24"/>
          <w:lang w:val="en-US" w:eastAsia="zh-CN" w:bidi="ar-SA"/>
        </w:rPr>
      </w:pPr>
      <w:r>
        <w:rPr>
          <w:rFonts w:hint="eastAsia" w:cs="宋体"/>
          <w:b/>
          <w:bCs/>
          <w:kern w:val="2"/>
          <w:sz w:val="24"/>
          <w:szCs w:val="24"/>
          <w:lang w:val="en-US" w:eastAsia="zh-CN" w:bidi="ar-SA"/>
        </w:rPr>
        <w:t>8、验收要求：</w:t>
      </w:r>
    </w:p>
    <w:p w14:paraId="2EA83260">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lang w:eastAsia="zh-CN"/>
          <w14:textFill>
            <w14:solidFill>
              <w14:schemeClr w14:val="tx1"/>
            </w14:solidFill>
          </w14:textFill>
        </w:rPr>
        <w:t>按照</w:t>
      </w:r>
      <w:r>
        <w:rPr>
          <w:rFonts w:hint="eastAsia" w:ascii="宋体" w:hAnsi="宋体"/>
          <w:color w:val="000000" w:themeColor="text1"/>
          <w:sz w:val="24"/>
          <w:lang w:val="en-US" w:eastAsia="zh-CN"/>
          <w14:textFill>
            <w14:solidFill>
              <w14:schemeClr w14:val="tx1"/>
            </w14:solidFill>
          </w14:textFill>
        </w:rPr>
        <w:t>网上竞价文件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的响应文件和本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约定的服务内容及质量要求按次组织对</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所提供服务进行验收，并根据验收结果支付服务费用。具体如下：</w:t>
      </w:r>
    </w:p>
    <w:p w14:paraId="326D6990">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8.1</w:t>
      </w:r>
      <w:r>
        <w:rPr>
          <w:rFonts w:hint="eastAsia" w:ascii="宋体" w:hAnsi="宋体"/>
          <w:color w:val="000000" w:themeColor="text1"/>
          <w:sz w:val="24"/>
          <w:lang w:eastAsia="zh-CN"/>
          <w14:textFill>
            <w14:solidFill>
              <w14:schemeClr w14:val="tx1"/>
            </w14:solidFill>
          </w14:textFill>
        </w:rPr>
        <w:t>按照</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约定的服务内容、服务要求和服务效果进行验收。</w:t>
      </w:r>
    </w:p>
    <w:p w14:paraId="75D62691">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8.2采购人</w:t>
      </w:r>
      <w:r>
        <w:rPr>
          <w:rFonts w:hint="eastAsia" w:ascii="宋体" w:hAnsi="宋体"/>
          <w:color w:val="000000" w:themeColor="text1"/>
          <w:sz w:val="24"/>
          <w:lang w:eastAsia="zh-CN"/>
          <w14:textFill>
            <w14:solidFill>
              <w14:schemeClr w14:val="tx1"/>
            </w14:solidFill>
          </w14:textFill>
        </w:rPr>
        <w:t>在收到</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的验收申请后</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lang w:eastAsia="zh-CN"/>
          <w14:textFill>
            <w14:solidFill>
              <w14:schemeClr w14:val="tx1"/>
            </w14:solidFill>
          </w14:textFill>
        </w:rPr>
        <w:t>个工作日内，</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和</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lang w:eastAsia="zh-CN"/>
          <w14:textFill>
            <w14:solidFill>
              <w14:schemeClr w14:val="tx1"/>
            </w14:solidFill>
          </w14:textFill>
        </w:rPr>
        <w:t>共同进行验收。</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lang w:eastAsia="zh-CN"/>
          <w14:textFill>
            <w14:solidFill>
              <w14:schemeClr w14:val="tx1"/>
            </w14:solidFill>
          </w14:textFill>
        </w:rPr>
        <w:t>将按照采购</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规定的技术参数标准和服务要求组织对</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履约情况进行验收。验收结果经双方确认后，双方代表必须按规定的验收单上的项目填好验收结果并签名盖章。</w:t>
      </w:r>
    </w:p>
    <w:p w14:paraId="6A2F92D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9、</w:t>
      </w:r>
      <w:r>
        <w:rPr>
          <w:rFonts w:hint="eastAsia" w:ascii="宋体" w:hAnsi="宋体" w:eastAsia="宋体" w:cs="宋体"/>
          <w:b/>
          <w:bCs/>
          <w:kern w:val="2"/>
          <w:sz w:val="24"/>
          <w:szCs w:val="24"/>
          <w:lang w:val="en-US" w:eastAsia="zh-CN" w:bidi="ar-SA"/>
        </w:rPr>
        <w:t>售后服务：</w:t>
      </w:r>
    </w:p>
    <w:p w14:paraId="7F8CEBA9">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本项目免费保修期为1年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自</w:t>
      </w:r>
      <w:r>
        <w:rPr>
          <w:rFonts w:hint="eastAsia" w:ascii="宋体" w:hAnsi="宋体"/>
          <w:color w:val="000000" w:themeColor="text1"/>
          <w:sz w:val="24"/>
          <w14:textFill>
            <w14:solidFill>
              <w14:schemeClr w14:val="tx1"/>
            </w14:solidFill>
          </w14:textFill>
        </w:rPr>
        <w:t>验收合格之日起算）</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成交</w:t>
      </w:r>
      <w:r>
        <w:rPr>
          <w:rFonts w:hint="eastAsia" w:ascii="宋体" w:hAnsi="宋体"/>
          <w:color w:val="000000" w:themeColor="text1"/>
          <w:sz w:val="24"/>
          <w14:textFill>
            <w14:solidFill>
              <w14:schemeClr w14:val="tx1"/>
            </w14:solidFill>
          </w14:textFill>
        </w:rPr>
        <w:t>供应商在质保期内接到故障通知后24小时内响应，并在24小时内到达现场免费负责</w:t>
      </w:r>
      <w:r>
        <w:rPr>
          <w:rFonts w:hint="eastAsia" w:ascii="宋体" w:hAnsi="宋体"/>
          <w:color w:val="000000" w:themeColor="text1"/>
          <w:sz w:val="24"/>
          <w:lang w:val="en-US" w:eastAsia="zh-CN"/>
          <w14:textFill>
            <w14:solidFill>
              <w14:schemeClr w14:val="tx1"/>
            </w14:solidFill>
          </w14:textFill>
        </w:rPr>
        <w:t>调试</w:t>
      </w:r>
      <w:r>
        <w:rPr>
          <w:rFonts w:hint="eastAsia" w:ascii="宋体" w:hAnsi="宋体"/>
          <w:color w:val="000000" w:themeColor="text1"/>
          <w:sz w:val="24"/>
          <w14:textFill>
            <w14:solidFill>
              <w14:schemeClr w14:val="tx1"/>
            </w14:solidFill>
          </w14:textFill>
        </w:rPr>
        <w:t>。质保期外重复出现质保期内出现的故障属免费保修范围。</w:t>
      </w:r>
    </w:p>
    <w:p w14:paraId="04C247C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10、</w:t>
      </w:r>
      <w:r>
        <w:rPr>
          <w:rFonts w:hint="eastAsia" w:ascii="宋体" w:hAnsi="宋体" w:eastAsia="宋体" w:cs="宋体"/>
          <w:b/>
          <w:bCs/>
          <w:kern w:val="2"/>
          <w:sz w:val="24"/>
          <w:szCs w:val="24"/>
          <w:lang w:val="en-US" w:eastAsia="zh-CN" w:bidi="ar-SA"/>
        </w:rPr>
        <w:t>知识产权：</w:t>
      </w:r>
    </w:p>
    <w:p w14:paraId="3E33277F">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10.1</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须保障采购人在使用该</w:t>
      </w:r>
      <w:r>
        <w:rPr>
          <w:rFonts w:hint="eastAsia" w:ascii="宋体" w:hAnsi="宋体"/>
          <w:color w:val="000000" w:themeColor="text1"/>
          <w:sz w:val="24"/>
          <w:lang w:val="en-US" w:eastAsia="zh-CN"/>
          <w14:textFill>
            <w14:solidFill>
              <w14:schemeClr w14:val="tx1"/>
            </w14:solidFill>
          </w14:textFill>
        </w:rPr>
        <w:t>系统</w:t>
      </w:r>
      <w:r>
        <w:rPr>
          <w:rFonts w:hint="eastAsia" w:ascii="宋体" w:hAnsi="宋体"/>
          <w:color w:val="000000" w:themeColor="text1"/>
          <w:sz w:val="24"/>
          <w14:textFill>
            <w14:solidFill>
              <w14:schemeClr w14:val="tx1"/>
            </w14:solidFill>
          </w14:textFill>
        </w:rPr>
        <w:t>或其任何一部分时不受到第三方关于侵犯专利权、商标权或工业设计权等知识产权的指控。如果任何第三方提出侵权指控与采购人无关，</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须与第三方交涉并承担可能发生的责任与一切费用；如采购人因此而遭致损失的，</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应赔偿该损失。</w:t>
      </w:r>
    </w:p>
    <w:p w14:paraId="501514FA">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10.2</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为执行本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而提供的技术资料、软件，采购人有权进行使用，</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不得主张任何费用。</w:t>
      </w:r>
    </w:p>
    <w:p w14:paraId="7FB1088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1</w:t>
      </w:r>
      <w:r>
        <w:rPr>
          <w:rFonts w:hint="eastAsia" w:ascii="宋体" w:hAnsi="宋体" w:eastAsia="宋体" w:cs="宋体"/>
          <w:b/>
          <w:bCs/>
          <w:kern w:val="2"/>
          <w:sz w:val="24"/>
          <w:szCs w:val="24"/>
          <w:lang w:val="en-US" w:eastAsia="zh-CN" w:bidi="ar-SA"/>
        </w:rPr>
        <w:t>、产权与风险转移：</w:t>
      </w:r>
    </w:p>
    <w:p w14:paraId="5EBD223D">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项目</w:t>
      </w:r>
      <w:r>
        <w:rPr>
          <w:rFonts w:hint="eastAsia" w:ascii="宋体" w:hAnsi="宋体" w:eastAsia="宋体"/>
          <w:color w:val="000000" w:themeColor="text1"/>
          <w:sz w:val="24"/>
          <w14:textFill>
            <w14:solidFill>
              <w14:schemeClr w14:val="tx1"/>
            </w14:solidFill>
          </w14:textFill>
        </w:rPr>
        <w:t>的产权与风险转移遵守如下约定：</w:t>
      </w:r>
    </w:p>
    <w:p w14:paraId="01994C14">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lang w:val="en-US" w:eastAsia="zh-CN"/>
          <w14:textFill>
            <w14:solidFill>
              <w14:schemeClr w14:val="tx1"/>
            </w14:solidFill>
          </w14:textFill>
        </w:rPr>
        <w:t>.1系统</w:t>
      </w:r>
      <w:r>
        <w:rPr>
          <w:rFonts w:hint="eastAsia" w:ascii="宋体" w:hAnsi="宋体" w:eastAsia="宋体"/>
          <w:color w:val="000000" w:themeColor="text1"/>
          <w:sz w:val="24"/>
          <w14:textFill>
            <w14:solidFill>
              <w14:schemeClr w14:val="tx1"/>
            </w14:solidFill>
          </w14:textFill>
        </w:rPr>
        <w:t>的产权以及损坏、灭失的风险在</w:t>
      </w:r>
      <w:r>
        <w:rPr>
          <w:rFonts w:hint="eastAsia" w:ascii="宋体" w:hAnsi="宋体" w:eastAsia="宋体"/>
          <w:color w:val="000000" w:themeColor="text1"/>
          <w:sz w:val="24"/>
          <w:lang w:val="en-US" w:eastAsia="zh-CN"/>
          <w14:textFill>
            <w14:solidFill>
              <w14:schemeClr w14:val="tx1"/>
            </w14:solidFill>
          </w14:textFill>
        </w:rPr>
        <w:t>系统</w:t>
      </w:r>
      <w:r>
        <w:rPr>
          <w:rFonts w:hint="eastAsia" w:ascii="宋体" w:hAnsi="宋体" w:eastAsia="宋体"/>
          <w:color w:val="000000" w:themeColor="text1"/>
          <w:sz w:val="24"/>
          <w14:textFill>
            <w14:solidFill>
              <w14:schemeClr w14:val="tx1"/>
            </w14:solidFill>
          </w14:textFill>
        </w:rPr>
        <w:t>通过验收并交付使用前归属于</w:t>
      </w:r>
      <w:r>
        <w:rPr>
          <w:rFonts w:hint="eastAsia" w:ascii="宋体" w:hAnsi="宋体" w:eastAsia="宋体"/>
          <w:color w:val="000000" w:themeColor="text1"/>
          <w:sz w:val="24"/>
          <w:lang w:eastAsia="zh-CN"/>
          <w14:textFill>
            <w14:solidFill>
              <w14:schemeClr w14:val="tx1"/>
            </w14:solidFill>
          </w14:textFill>
        </w:rPr>
        <w:t>成交供应商</w:t>
      </w:r>
      <w:r>
        <w:rPr>
          <w:rFonts w:hint="eastAsia" w:ascii="宋体" w:hAnsi="宋体" w:eastAsia="宋体"/>
          <w:color w:val="000000" w:themeColor="text1"/>
          <w:sz w:val="24"/>
          <w14:textFill>
            <w14:solidFill>
              <w14:schemeClr w14:val="tx1"/>
            </w14:solidFill>
          </w14:textFill>
        </w:rPr>
        <w:t>，在</w:t>
      </w:r>
      <w:r>
        <w:rPr>
          <w:rFonts w:hint="eastAsia" w:ascii="宋体" w:hAnsi="宋体" w:eastAsia="宋体"/>
          <w:color w:val="000000" w:themeColor="text1"/>
          <w:sz w:val="24"/>
          <w:lang w:val="en-US" w:eastAsia="zh-CN"/>
          <w14:textFill>
            <w14:solidFill>
              <w14:schemeClr w14:val="tx1"/>
            </w14:solidFill>
          </w14:textFill>
        </w:rPr>
        <w:t>系统</w:t>
      </w:r>
      <w:r>
        <w:rPr>
          <w:rFonts w:hint="eastAsia" w:ascii="宋体" w:hAnsi="宋体" w:eastAsia="宋体"/>
          <w:color w:val="000000" w:themeColor="text1"/>
          <w:sz w:val="24"/>
          <w14:textFill>
            <w14:solidFill>
              <w14:schemeClr w14:val="tx1"/>
            </w14:solidFill>
          </w14:textFill>
        </w:rPr>
        <w:t>通过验收并交付使用时起由</w:t>
      </w:r>
      <w:r>
        <w:rPr>
          <w:rFonts w:hint="eastAsia" w:ascii="宋体" w:hAnsi="宋体" w:eastAsia="宋体"/>
          <w:color w:val="000000" w:themeColor="text1"/>
          <w:sz w:val="24"/>
          <w:lang w:eastAsia="zh-CN"/>
          <w14:textFill>
            <w14:solidFill>
              <w14:schemeClr w14:val="tx1"/>
            </w14:solidFill>
          </w14:textFill>
        </w:rPr>
        <w:t>成交供应商</w:t>
      </w:r>
      <w:r>
        <w:rPr>
          <w:rFonts w:hint="eastAsia" w:ascii="宋体" w:hAnsi="宋体" w:eastAsia="宋体"/>
          <w:color w:val="000000" w:themeColor="text1"/>
          <w:sz w:val="24"/>
          <w14:textFill>
            <w14:solidFill>
              <w14:schemeClr w14:val="tx1"/>
            </w14:solidFill>
          </w14:textFill>
        </w:rPr>
        <w:t>转移至采购人。</w:t>
      </w:r>
    </w:p>
    <w:p w14:paraId="607E986D">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ascii="黑体" w:hAnsi="黑体" w:eastAsia="黑体" w:cs="黑体"/>
          <w:b/>
          <w:color w:val="000000" w:themeColor="text1"/>
          <w:sz w:val="28"/>
          <w:szCs w:val="28"/>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产权和风险的转移，不影响因</w:t>
      </w:r>
      <w:r>
        <w:rPr>
          <w:rFonts w:hint="eastAsia" w:ascii="宋体" w:hAnsi="宋体" w:eastAsia="宋体"/>
          <w:color w:val="000000" w:themeColor="text1"/>
          <w:sz w:val="24"/>
          <w:lang w:eastAsia="zh-CN"/>
          <w14:textFill>
            <w14:solidFill>
              <w14:schemeClr w14:val="tx1"/>
            </w14:solidFill>
          </w14:textFill>
        </w:rPr>
        <w:t>成交供应商</w:t>
      </w:r>
      <w:r>
        <w:rPr>
          <w:rFonts w:hint="eastAsia" w:ascii="宋体" w:hAnsi="宋体" w:eastAsia="宋体"/>
          <w:color w:val="000000" w:themeColor="text1"/>
          <w:sz w:val="24"/>
          <w14:textFill>
            <w14:solidFill>
              <w14:schemeClr w14:val="tx1"/>
            </w14:solidFill>
          </w14:textFill>
        </w:rPr>
        <w:t>履行义务不符合约定，采购人要求其承担违约责任的权利。</w:t>
      </w:r>
    </w:p>
    <w:p w14:paraId="4270D1B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2</w:t>
      </w:r>
      <w:r>
        <w:rPr>
          <w:rFonts w:hint="eastAsia" w:ascii="宋体" w:hAnsi="宋体" w:eastAsia="宋体" w:cs="宋体"/>
          <w:b/>
          <w:bCs/>
          <w:kern w:val="2"/>
          <w:sz w:val="24"/>
          <w:szCs w:val="24"/>
          <w:lang w:val="en-US" w:eastAsia="zh-CN" w:bidi="ar-SA"/>
        </w:rPr>
        <w:t>、保密：</w:t>
      </w:r>
    </w:p>
    <w:p w14:paraId="7FF7A737">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12.1</w:t>
      </w:r>
      <w:r>
        <w:rPr>
          <w:rFonts w:hint="eastAsia" w:ascii="宋体" w:hAnsi="宋体"/>
          <w:sz w:val="24"/>
        </w:rPr>
        <w:t>未经采购人事先书面同意，</w:t>
      </w:r>
      <w:r>
        <w:rPr>
          <w:rFonts w:hint="eastAsia" w:ascii="宋体" w:hAnsi="宋体"/>
          <w:sz w:val="24"/>
          <w:lang w:eastAsia="zh-CN"/>
        </w:rPr>
        <w:t>成交供应商</w:t>
      </w:r>
      <w:r>
        <w:rPr>
          <w:rFonts w:hint="eastAsia" w:ascii="宋体" w:hAnsi="宋体"/>
          <w:sz w:val="24"/>
        </w:rPr>
        <w:t>不得将由采购人为本</w:t>
      </w:r>
      <w:r>
        <w:rPr>
          <w:rFonts w:hint="eastAsia" w:ascii="宋体" w:hAnsi="宋体"/>
          <w:sz w:val="24"/>
          <w:lang w:val="en-US" w:eastAsia="zh-CN"/>
        </w:rPr>
        <w:t>项目</w:t>
      </w:r>
      <w:r>
        <w:rPr>
          <w:rFonts w:hint="eastAsia" w:ascii="宋体" w:hAnsi="宋体"/>
          <w:sz w:val="24"/>
        </w:rPr>
        <w:t>提供的条文、规格、计划、资料提供给与本</w:t>
      </w:r>
      <w:r>
        <w:rPr>
          <w:rFonts w:hint="eastAsia" w:ascii="宋体" w:hAnsi="宋体"/>
          <w:sz w:val="24"/>
          <w:lang w:val="en-US" w:eastAsia="zh-CN"/>
        </w:rPr>
        <w:t>项目</w:t>
      </w:r>
      <w:r>
        <w:rPr>
          <w:rFonts w:hint="eastAsia" w:ascii="宋体" w:hAnsi="宋体"/>
          <w:sz w:val="24"/>
        </w:rPr>
        <w:t>无关的任何第三方，不得将其用于履行本</w:t>
      </w:r>
      <w:r>
        <w:rPr>
          <w:rFonts w:hint="eastAsia" w:ascii="宋体" w:hAnsi="宋体"/>
          <w:sz w:val="24"/>
          <w:lang w:val="en-US" w:eastAsia="zh-CN"/>
        </w:rPr>
        <w:t>项目</w:t>
      </w:r>
      <w:r>
        <w:rPr>
          <w:rFonts w:hint="eastAsia" w:ascii="宋体" w:hAnsi="宋体"/>
          <w:sz w:val="24"/>
        </w:rPr>
        <w:t>之外的其它用途。即使向与履行本</w:t>
      </w:r>
      <w:r>
        <w:rPr>
          <w:rFonts w:hint="eastAsia" w:ascii="宋体" w:hAnsi="宋体"/>
          <w:sz w:val="24"/>
          <w:lang w:val="en-US" w:eastAsia="zh-CN"/>
        </w:rPr>
        <w:t>项目</w:t>
      </w:r>
      <w:r>
        <w:rPr>
          <w:rFonts w:hint="eastAsia" w:ascii="宋体" w:hAnsi="宋体"/>
          <w:sz w:val="24"/>
        </w:rPr>
        <w:t>有关的人员提供，也应注意保密并限于履行</w:t>
      </w:r>
      <w:r>
        <w:rPr>
          <w:rFonts w:hint="eastAsia" w:ascii="宋体" w:hAnsi="宋体"/>
          <w:sz w:val="24"/>
          <w:lang w:val="en-US" w:eastAsia="zh-CN"/>
        </w:rPr>
        <w:t>项目</w:t>
      </w:r>
      <w:r>
        <w:rPr>
          <w:rFonts w:hint="eastAsia" w:ascii="宋体" w:hAnsi="宋体"/>
          <w:sz w:val="24"/>
        </w:rPr>
        <w:t>所必需的范围。</w:t>
      </w:r>
    </w:p>
    <w:p w14:paraId="084F9EC4">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12.2</w:t>
      </w:r>
      <w:r>
        <w:rPr>
          <w:rFonts w:hint="eastAsia" w:ascii="宋体" w:hAnsi="宋体"/>
          <w:sz w:val="24"/>
        </w:rPr>
        <w:t>除了</w:t>
      </w:r>
      <w:r>
        <w:rPr>
          <w:rFonts w:hint="eastAsia" w:ascii="宋体" w:hAnsi="宋体"/>
          <w:sz w:val="24"/>
          <w:lang w:val="en-US" w:eastAsia="zh-CN"/>
        </w:rPr>
        <w:t>项目</w:t>
      </w:r>
      <w:r>
        <w:rPr>
          <w:rFonts w:hint="eastAsia" w:ascii="宋体" w:hAnsi="宋体"/>
          <w:sz w:val="24"/>
        </w:rPr>
        <w:t>本身之外，上款所列举的任何物件均是采购人的财产。如果采购人有要求，</w:t>
      </w:r>
      <w:r>
        <w:rPr>
          <w:rFonts w:hint="eastAsia" w:ascii="宋体" w:hAnsi="宋体"/>
          <w:sz w:val="24"/>
          <w:lang w:eastAsia="zh-CN"/>
        </w:rPr>
        <w:t>成交供应商</w:t>
      </w:r>
      <w:r>
        <w:rPr>
          <w:rFonts w:hint="eastAsia" w:ascii="宋体" w:hAnsi="宋体"/>
          <w:sz w:val="24"/>
        </w:rPr>
        <w:t>在收到采购人的要求后10日内应将这些物件及全部复制件还给采购人，不得留存任何备份。</w:t>
      </w:r>
    </w:p>
    <w:p w14:paraId="59EDECB8">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sz w:val="24"/>
          <w:lang w:val="en-US" w:eastAsia="zh-CN"/>
        </w:rPr>
        <w:t>12.3</w:t>
      </w:r>
      <w:r>
        <w:rPr>
          <w:rFonts w:hint="eastAsia" w:ascii="宋体" w:hAnsi="宋体"/>
          <w:sz w:val="24"/>
          <w:lang w:eastAsia="zh-CN"/>
        </w:rPr>
        <w:t>成交供应商</w:t>
      </w:r>
      <w:r>
        <w:rPr>
          <w:rFonts w:hint="eastAsia" w:ascii="宋体" w:hAnsi="宋体"/>
          <w:sz w:val="24"/>
        </w:rPr>
        <w:t>违反本保密条款的，应支付</w:t>
      </w:r>
      <w:r>
        <w:rPr>
          <w:rFonts w:hint="eastAsia" w:ascii="宋体" w:hAnsi="宋体"/>
          <w:sz w:val="24"/>
          <w:lang w:val="en-US" w:eastAsia="zh-CN"/>
        </w:rPr>
        <w:t>项目</w:t>
      </w:r>
      <w:r>
        <w:rPr>
          <w:rFonts w:hint="eastAsia" w:ascii="宋体" w:hAnsi="宋体"/>
          <w:sz w:val="24"/>
        </w:rPr>
        <w:t>总金额</w:t>
      </w:r>
      <w:r>
        <w:rPr>
          <w:rFonts w:hint="eastAsia" w:ascii="宋体" w:hAnsi="宋体"/>
          <w:sz w:val="24"/>
          <w:lang w:val="en-US" w:eastAsia="zh-CN"/>
        </w:rPr>
        <w:t>10</w:t>
      </w:r>
      <w:r>
        <w:rPr>
          <w:rFonts w:hint="eastAsia" w:ascii="宋体" w:hAnsi="宋体"/>
          <w:sz w:val="24"/>
        </w:rPr>
        <w:t>%的违约金，并赔偿由此给采购人造成的任何损失。本条款在本</w:t>
      </w:r>
      <w:r>
        <w:rPr>
          <w:rFonts w:hint="eastAsia" w:ascii="宋体" w:hAnsi="宋体"/>
          <w:sz w:val="24"/>
          <w:lang w:val="en-US" w:eastAsia="zh-CN"/>
        </w:rPr>
        <w:t>项目</w:t>
      </w:r>
      <w:r>
        <w:rPr>
          <w:rFonts w:hint="eastAsia" w:ascii="宋体" w:hAnsi="宋体"/>
          <w:sz w:val="24"/>
        </w:rPr>
        <w:t>履行期间至履行结束后均有效。</w:t>
      </w:r>
    </w:p>
    <w:p w14:paraId="049DA6F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3</w:t>
      </w:r>
      <w:r>
        <w:rPr>
          <w:rFonts w:hint="eastAsia" w:ascii="宋体" w:hAnsi="宋体" w:eastAsia="宋体" w:cs="宋体"/>
          <w:b/>
          <w:bCs/>
          <w:kern w:val="2"/>
          <w:sz w:val="24"/>
          <w:szCs w:val="24"/>
          <w:lang w:val="en-US" w:eastAsia="zh-CN" w:bidi="ar-SA"/>
        </w:rPr>
        <w:t>、违约责任：</w:t>
      </w:r>
    </w:p>
    <w:p w14:paraId="2C1957D7">
      <w:pPr>
        <w:tabs>
          <w:tab w:val="left" w:pos="0"/>
        </w:tabs>
        <w:adjustRightInd w:val="0"/>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除不可抗力因素外，如果</w:t>
      </w:r>
      <w:r>
        <w:rPr>
          <w:rFonts w:hint="eastAsia" w:ascii="宋体" w:hAnsi="宋体" w:eastAsia="宋体" w:cs="Times New Roman"/>
          <w:sz w:val="24"/>
          <w:lang w:eastAsia="zh-CN"/>
        </w:rPr>
        <w:t>成交供应商</w:t>
      </w:r>
      <w:r>
        <w:rPr>
          <w:rFonts w:hint="eastAsia" w:ascii="宋体" w:hAnsi="宋体" w:eastAsia="宋体" w:cs="Times New Roman"/>
          <w:sz w:val="24"/>
        </w:rPr>
        <w:t>不能按照</w:t>
      </w:r>
      <w:r>
        <w:rPr>
          <w:rFonts w:hint="eastAsia" w:ascii="宋体" w:hAnsi="宋体" w:eastAsia="宋体" w:cs="Times New Roman"/>
          <w:sz w:val="24"/>
          <w:lang w:val="en-US" w:eastAsia="zh-CN"/>
        </w:rPr>
        <w:t>项目</w:t>
      </w:r>
      <w:r>
        <w:rPr>
          <w:rFonts w:hint="eastAsia" w:ascii="宋体" w:hAnsi="宋体" w:eastAsia="宋体" w:cs="Times New Roman"/>
          <w:sz w:val="24"/>
        </w:rPr>
        <w:t>规定的时间交付和提供服务，应及时以书面形式将逾期的事实、可能逾期的时间和原因通知采购人。采购人收到</w:t>
      </w:r>
      <w:r>
        <w:rPr>
          <w:rFonts w:hint="eastAsia" w:ascii="宋体" w:hAnsi="宋体" w:eastAsia="宋体" w:cs="Times New Roman"/>
          <w:sz w:val="24"/>
          <w:lang w:eastAsia="zh-CN"/>
        </w:rPr>
        <w:t>成交供应商</w:t>
      </w:r>
      <w:r>
        <w:rPr>
          <w:rFonts w:hint="eastAsia" w:ascii="宋体" w:hAnsi="宋体" w:eastAsia="宋体" w:cs="Times New Roman"/>
          <w:sz w:val="24"/>
        </w:rPr>
        <w:t>通知后，将尽快作出评价，决定是否同意延长交货期及收取逾期赔偿费，逾期赔偿费的金额为采购人所遭受的所有损失。采购人在不影响</w:t>
      </w:r>
      <w:r>
        <w:rPr>
          <w:rFonts w:hint="eastAsia" w:ascii="宋体" w:hAnsi="宋体" w:eastAsia="宋体" w:cs="Times New Roman"/>
          <w:sz w:val="24"/>
          <w:lang w:val="en-US" w:eastAsia="zh-CN"/>
        </w:rPr>
        <w:t>项目要求</w:t>
      </w:r>
      <w:r>
        <w:rPr>
          <w:rFonts w:hint="eastAsia" w:ascii="宋体" w:hAnsi="宋体" w:eastAsia="宋体" w:cs="Times New Roman"/>
          <w:sz w:val="24"/>
        </w:rPr>
        <w:t>的其它补救措施情况下，可从</w:t>
      </w:r>
      <w:r>
        <w:rPr>
          <w:rFonts w:hint="eastAsia" w:ascii="宋体" w:hAnsi="宋体" w:eastAsia="宋体" w:cs="Times New Roman"/>
          <w:sz w:val="24"/>
          <w:lang w:val="en-US" w:eastAsia="zh-CN"/>
        </w:rPr>
        <w:t>项目</w:t>
      </w:r>
      <w:r>
        <w:rPr>
          <w:rFonts w:hint="eastAsia" w:ascii="宋体" w:hAnsi="宋体" w:eastAsia="宋体" w:cs="Times New Roman"/>
          <w:sz w:val="24"/>
        </w:rPr>
        <w:t>未付款中扣除逾期违约金，违约金按未交付货物价款的 2％/</w:t>
      </w:r>
      <w:r>
        <w:rPr>
          <w:rFonts w:hint="eastAsia" w:ascii="宋体" w:hAnsi="宋体" w:eastAsia="宋体" w:cs="Times New Roman"/>
          <w:sz w:val="24"/>
          <w:lang w:val="en-US" w:eastAsia="zh-CN"/>
        </w:rPr>
        <w:t>日</w:t>
      </w:r>
      <w:r>
        <w:rPr>
          <w:rFonts w:hint="eastAsia" w:ascii="宋体" w:hAnsi="宋体" w:eastAsia="宋体" w:cs="Times New Roman"/>
          <w:sz w:val="24"/>
        </w:rPr>
        <w:t>计算，逾期期限一旦达到</w:t>
      </w:r>
      <w:r>
        <w:rPr>
          <w:rFonts w:hint="eastAsia" w:ascii="宋体" w:hAnsi="宋体" w:eastAsia="宋体" w:cs="Times New Roman"/>
          <w:sz w:val="24"/>
          <w:lang w:val="en-US" w:eastAsia="zh-CN"/>
        </w:rPr>
        <w:t>10日</w:t>
      </w:r>
      <w:r>
        <w:rPr>
          <w:rFonts w:hint="eastAsia" w:ascii="宋体" w:hAnsi="宋体" w:eastAsia="宋体" w:cs="Times New Roman"/>
          <w:sz w:val="24"/>
        </w:rPr>
        <w:t>，采购人有权</w:t>
      </w:r>
      <w:r>
        <w:rPr>
          <w:rFonts w:hint="eastAsia" w:ascii="宋体" w:hAnsi="宋体" w:eastAsia="宋体" w:cs="Times New Roman"/>
          <w:sz w:val="24"/>
          <w:lang w:val="en-US" w:eastAsia="zh-CN"/>
        </w:rPr>
        <w:t>作废项目</w:t>
      </w:r>
      <w:r>
        <w:rPr>
          <w:rFonts w:hint="eastAsia" w:ascii="宋体" w:hAnsi="宋体" w:eastAsia="宋体" w:cs="Times New Roman"/>
          <w:sz w:val="24"/>
        </w:rPr>
        <w:t>，且</w:t>
      </w:r>
      <w:r>
        <w:rPr>
          <w:rFonts w:hint="eastAsia" w:ascii="宋体" w:hAnsi="宋体" w:eastAsia="宋体" w:cs="Times New Roman"/>
          <w:sz w:val="24"/>
          <w:lang w:eastAsia="zh-CN"/>
        </w:rPr>
        <w:t>成交供应商</w:t>
      </w:r>
      <w:r>
        <w:rPr>
          <w:rFonts w:hint="eastAsia" w:ascii="宋体" w:hAnsi="宋体" w:eastAsia="宋体" w:cs="Times New Roman"/>
          <w:sz w:val="24"/>
        </w:rPr>
        <w:t>仍应按约定支付违约金。违约金的支付不影响采购人向</w:t>
      </w:r>
      <w:r>
        <w:rPr>
          <w:rFonts w:hint="eastAsia" w:ascii="宋体" w:hAnsi="宋体" w:eastAsia="宋体" w:cs="Times New Roman"/>
          <w:sz w:val="24"/>
          <w:lang w:eastAsia="zh-CN"/>
        </w:rPr>
        <w:t>成交供应商</w:t>
      </w:r>
      <w:r>
        <w:rPr>
          <w:rFonts w:hint="eastAsia" w:ascii="宋体" w:hAnsi="宋体" w:eastAsia="宋体" w:cs="Times New Roman"/>
          <w:sz w:val="24"/>
        </w:rPr>
        <w:t>要求损害赔偿。</w:t>
      </w:r>
    </w:p>
    <w:p w14:paraId="5C2113A0">
      <w:pPr>
        <w:keepNext w:val="0"/>
        <w:keepLines w:val="0"/>
        <w:pageBreakBefore w:val="0"/>
        <w:widowControl w:val="0"/>
        <w:numPr>
          <w:ilvl w:val="0"/>
          <w:numId w:val="0"/>
        </w:numPr>
        <w:tabs>
          <w:tab w:val="left" w:pos="900"/>
          <w:tab w:val="left" w:pos="1100"/>
        </w:tabs>
        <w:kinsoku/>
        <w:wordWrap/>
        <w:overflowPunct/>
        <w:topLinePunct w:val="0"/>
        <w:autoSpaceDE/>
        <w:autoSpaceDN/>
        <w:bidi w:val="0"/>
        <w:snapToGrid/>
        <w:spacing w:line="400" w:lineRule="exact"/>
        <w:ind w:firstLine="472" w:firstLineChars="196"/>
        <w:rPr>
          <w:rFonts w:hint="eastAsia" w:ascii="宋体" w:hAnsi="宋体"/>
          <w:b/>
          <w:bCs/>
          <w:color w:val="000000" w:themeColor="text1"/>
          <w:sz w:val="24"/>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1</w:t>
      </w:r>
      <w:r>
        <w:rPr>
          <w:rFonts w:hint="eastAsia" w:ascii="宋体" w:hAnsi="宋体" w:cs="Times New Roman"/>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纠纷处理方式：</w:t>
      </w:r>
    </w:p>
    <w:p w14:paraId="4D75D702">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4</w:t>
      </w: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双方协商解决。</w:t>
      </w:r>
    </w:p>
    <w:p w14:paraId="6F58478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4</w:t>
      </w:r>
      <w:r>
        <w:rPr>
          <w:rFonts w:hint="eastAsia" w:ascii="宋体" w:hAnsi="宋体" w:eastAsia="宋体" w:cs="宋体"/>
          <w:b w:val="0"/>
          <w:bCs w:val="0"/>
          <w:sz w:val="24"/>
          <w:szCs w:val="24"/>
          <w:lang w:val="en-US" w:eastAsia="zh-CN"/>
        </w:rPr>
        <w:t>.2</w:t>
      </w:r>
      <w:r>
        <w:rPr>
          <w:rFonts w:hint="default" w:ascii="宋体" w:hAnsi="宋体" w:eastAsia="宋体" w:cs="宋体"/>
          <w:b w:val="0"/>
          <w:bCs w:val="0"/>
          <w:sz w:val="24"/>
          <w:szCs w:val="24"/>
          <w:lang w:val="en-US" w:eastAsia="zh-CN"/>
        </w:rPr>
        <w:t>若协商解决不成，则通过下列途径解决：向人民法院提起诉讼。具体如下：向采</w:t>
      </w:r>
    </w:p>
    <w:p w14:paraId="6A4B180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default" w:ascii="宋体" w:hAnsi="宋体"/>
          <w:b/>
          <w:bCs/>
          <w:color w:val="000000" w:themeColor="text1"/>
          <w:sz w:val="24"/>
          <w:lang w:val="en-US" w:eastAsia="zh-CN"/>
          <w14:textFill>
            <w14:solidFill>
              <w14:schemeClr w14:val="tx1"/>
            </w14:solidFill>
          </w14:textFill>
        </w:rPr>
      </w:pPr>
      <w:r>
        <w:rPr>
          <w:rFonts w:hint="default" w:ascii="宋体" w:hAnsi="宋体" w:eastAsia="宋体" w:cs="宋体"/>
          <w:b w:val="0"/>
          <w:bCs w:val="0"/>
          <w:sz w:val="24"/>
          <w:szCs w:val="24"/>
          <w:lang w:val="en-US" w:eastAsia="zh-CN"/>
        </w:rPr>
        <w:t>购</w:t>
      </w:r>
      <w:r>
        <w:rPr>
          <w:rFonts w:hint="eastAsia" w:cs="宋体"/>
          <w:b w:val="0"/>
          <w:bCs w:val="0"/>
          <w:sz w:val="24"/>
          <w:szCs w:val="24"/>
          <w:lang w:val="en-US" w:eastAsia="zh-CN"/>
        </w:rPr>
        <w:t>人所在地</w:t>
      </w:r>
      <w:r>
        <w:rPr>
          <w:rFonts w:hint="default" w:ascii="宋体" w:hAnsi="宋体" w:eastAsia="宋体" w:cs="宋体"/>
          <w:b w:val="0"/>
          <w:bCs w:val="0"/>
          <w:sz w:val="24"/>
          <w:szCs w:val="24"/>
          <w:lang w:val="en-US" w:eastAsia="zh-CN"/>
        </w:rPr>
        <w:t>人民法院提起。</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eastAsia="宋体"/>
          <w:szCs w:val="24"/>
          <w:lang w:eastAsia="zh-CN"/>
        </w:rPr>
      </w:pPr>
      <w:r>
        <w:rPr>
          <w:rFonts w:hint="eastAsia" w:cs="宋体"/>
          <w:b/>
          <w:bCs/>
          <w:szCs w:val="24"/>
          <w:lang w:val="en-US" w:eastAsia="zh-CN"/>
        </w:rPr>
        <w:t>15</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5</w:t>
      </w:r>
      <w:r>
        <w:rPr>
          <w:rFonts w:hint="eastAsia" w:ascii="宋体" w:hAnsi="宋体" w:eastAsia="宋体" w:cs="宋体"/>
          <w:b w:val="0"/>
          <w:bCs w:val="0"/>
          <w:sz w:val="24"/>
          <w:szCs w:val="24"/>
          <w:lang w:val="en-US" w:eastAsia="zh-CN"/>
        </w:rPr>
        <w:t>.4供应商不得存在虚假应标谋取中标等行为，一经发现将取消其成交资格，并对其追究相关法律的责任。若第一成交候选人因不可抗力或自身原因提出不能履行合同，采购人可以重新招标。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583"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878"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ascii="宋体" w:hAnsi="宋体" w:cs="宋体"/>
                <w:color w:val="auto"/>
                <w:sz w:val="24"/>
                <w:highlight w:val="none"/>
              </w:rPr>
            </w:pPr>
          </w:p>
        </w:tc>
        <w:tc>
          <w:tcPr>
            <w:tcW w:w="1583" w:type="dxa"/>
            <w:vAlign w:val="center"/>
          </w:tcPr>
          <w:p w14:paraId="03E2BE46">
            <w:pPr>
              <w:spacing w:line="360" w:lineRule="auto"/>
              <w:jc w:val="center"/>
              <w:rPr>
                <w:rFonts w:ascii="宋体" w:hAnsi="宋体" w:cs="宋体"/>
                <w:color w:val="auto"/>
                <w:sz w:val="24"/>
                <w:highlight w:val="none"/>
              </w:rPr>
            </w:pPr>
          </w:p>
        </w:tc>
        <w:tc>
          <w:tcPr>
            <w:tcW w:w="1878"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583" w:type="dxa"/>
            <w:vAlign w:val="center"/>
          </w:tcPr>
          <w:p w14:paraId="138BAC3E">
            <w:pPr>
              <w:spacing w:line="360" w:lineRule="auto"/>
              <w:jc w:val="center"/>
              <w:rPr>
                <w:rFonts w:ascii="宋体" w:hAnsi="宋体" w:cs="宋体"/>
                <w:color w:val="auto"/>
                <w:sz w:val="24"/>
                <w:highlight w:val="none"/>
              </w:rPr>
            </w:pPr>
          </w:p>
        </w:tc>
        <w:tc>
          <w:tcPr>
            <w:tcW w:w="1878"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ascii="宋体" w:hAnsi="宋体"/>
                <w:color w:val="auto"/>
                <w:sz w:val="24"/>
                <w:highlight w:val="none"/>
              </w:rPr>
            </w:pP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注：供应商在竞价系统中提交报价时须上传该《报价一览表》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2FECC45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3"/>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3"/>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596"/>
        <w:gridCol w:w="1677"/>
        <w:gridCol w:w="1631"/>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60"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19"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3152" w:type="dxa"/>
            <w:vAlign w:val="center"/>
          </w:tcPr>
          <w:p w14:paraId="0E52BE8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服务项目</w:t>
            </w:r>
          </w:p>
        </w:tc>
        <w:tc>
          <w:tcPr>
            <w:tcW w:w="1596"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77"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单价</w:t>
            </w:r>
          </w:p>
        </w:tc>
        <w:tc>
          <w:tcPr>
            <w:tcW w:w="1631" w:type="dxa"/>
            <w:vAlign w:val="center"/>
          </w:tcPr>
          <w:p w14:paraId="268DAFF1">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总价</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0"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19"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p>
        </w:tc>
        <w:tc>
          <w:tcPr>
            <w:tcW w:w="3152" w:type="dxa"/>
            <w:vAlign w:val="center"/>
          </w:tcPr>
          <w:p w14:paraId="67DFC6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highlight w:val="none"/>
                <w:lang w:val="en-US" w:eastAsia="zh-CN"/>
              </w:rPr>
            </w:pPr>
            <w:r>
              <w:rPr>
                <w:rFonts w:hint="eastAsia" w:asciiTheme="minorEastAsia" w:hAnsiTheme="minorEastAsia" w:eastAsiaTheme="minorEastAsia" w:cstheme="minorEastAsia"/>
                <w:sz w:val="24"/>
                <w:szCs w:val="24"/>
              </w:rPr>
              <w:t>虚拟仿真基础软件</w:t>
            </w:r>
          </w:p>
        </w:tc>
        <w:tc>
          <w:tcPr>
            <w:tcW w:w="1596" w:type="dxa"/>
            <w:shd w:val="clear" w:color="auto" w:fill="auto"/>
            <w:vAlign w:val="center"/>
          </w:tcPr>
          <w:p w14:paraId="78D194F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1套</w:t>
            </w:r>
          </w:p>
        </w:tc>
        <w:tc>
          <w:tcPr>
            <w:tcW w:w="1677" w:type="dxa"/>
            <w:shd w:val="clear" w:color="auto" w:fill="auto"/>
            <w:vAlign w:val="center"/>
          </w:tcPr>
          <w:p w14:paraId="1D4726F4">
            <w:pPr>
              <w:widowControl/>
              <w:spacing w:line="240" w:lineRule="auto"/>
              <w:jc w:val="left"/>
              <w:rPr>
                <w:rFonts w:ascii="宋体" w:hAnsi="宋体"/>
                <w:color w:val="auto"/>
                <w:sz w:val="24"/>
                <w:highlight w:val="none"/>
              </w:rPr>
            </w:pPr>
          </w:p>
        </w:tc>
        <w:tc>
          <w:tcPr>
            <w:tcW w:w="1631"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60" w:type="dxa"/>
            <w:vMerge w:val="continue"/>
            <w:vAlign w:val="center"/>
          </w:tcPr>
          <w:p w14:paraId="2A70B31E">
            <w:pPr>
              <w:widowControl/>
              <w:spacing w:line="240" w:lineRule="auto"/>
              <w:jc w:val="left"/>
            </w:pPr>
          </w:p>
        </w:tc>
        <w:tc>
          <w:tcPr>
            <w:tcW w:w="719"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3152" w:type="dxa"/>
            <w:vAlign w:val="center"/>
          </w:tcPr>
          <w:p w14:paraId="5EA03E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highlight w:val="none"/>
                <w:lang w:val="en-US" w:eastAsia="zh-CN"/>
              </w:rPr>
            </w:pPr>
            <w:r>
              <w:rPr>
                <w:rFonts w:hint="eastAsia" w:asciiTheme="minorEastAsia" w:hAnsiTheme="minorEastAsia" w:eastAsiaTheme="minorEastAsia" w:cstheme="minorEastAsia"/>
                <w:sz w:val="24"/>
                <w:szCs w:val="24"/>
              </w:rPr>
              <w:t>传感器与传输实验模块</w:t>
            </w:r>
          </w:p>
        </w:tc>
        <w:tc>
          <w:tcPr>
            <w:tcW w:w="1596" w:type="dxa"/>
            <w:shd w:val="clear" w:color="auto" w:fill="auto"/>
            <w:vAlign w:val="center"/>
          </w:tcPr>
          <w:p w14:paraId="428BC1E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1套</w:t>
            </w:r>
          </w:p>
        </w:tc>
        <w:tc>
          <w:tcPr>
            <w:tcW w:w="1677" w:type="dxa"/>
            <w:shd w:val="clear" w:color="auto" w:fill="auto"/>
            <w:vAlign w:val="center"/>
          </w:tcPr>
          <w:p w14:paraId="2EE783A2">
            <w:pPr>
              <w:widowControl/>
              <w:spacing w:line="240" w:lineRule="auto"/>
              <w:jc w:val="left"/>
              <w:rPr>
                <w:rFonts w:hint="eastAsia" w:ascii="宋体" w:hAnsi="宋体" w:eastAsia="宋体"/>
                <w:color w:val="auto"/>
                <w:sz w:val="24"/>
                <w:highlight w:val="none"/>
                <w:lang w:val="en-US" w:eastAsia="zh-CN"/>
              </w:rPr>
            </w:pPr>
          </w:p>
        </w:tc>
        <w:tc>
          <w:tcPr>
            <w:tcW w:w="1631"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674D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60" w:type="dxa"/>
            <w:vMerge w:val="continue"/>
            <w:vAlign w:val="center"/>
          </w:tcPr>
          <w:p w14:paraId="2E438E31">
            <w:pPr>
              <w:widowControl/>
              <w:spacing w:line="240" w:lineRule="auto"/>
              <w:jc w:val="left"/>
            </w:pPr>
          </w:p>
        </w:tc>
        <w:tc>
          <w:tcPr>
            <w:tcW w:w="719" w:type="dxa"/>
            <w:vAlign w:val="center"/>
          </w:tcPr>
          <w:p w14:paraId="79853A8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3152" w:type="dxa"/>
            <w:vAlign w:val="center"/>
          </w:tcPr>
          <w:p w14:paraId="12BAB9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highlight w:val="none"/>
                <w:lang w:val="en-US" w:eastAsia="zh-CN"/>
              </w:rPr>
            </w:pPr>
            <w:r>
              <w:rPr>
                <w:rFonts w:hint="eastAsia" w:asciiTheme="minorEastAsia" w:hAnsiTheme="minorEastAsia" w:eastAsiaTheme="minorEastAsia" w:cstheme="minorEastAsia"/>
                <w:sz w:val="24"/>
                <w:szCs w:val="24"/>
              </w:rPr>
              <w:t>数据可视化与决策模块</w:t>
            </w:r>
          </w:p>
        </w:tc>
        <w:tc>
          <w:tcPr>
            <w:tcW w:w="1596" w:type="dxa"/>
            <w:shd w:val="clear" w:color="auto" w:fill="auto"/>
            <w:vAlign w:val="center"/>
          </w:tcPr>
          <w:p w14:paraId="4F8E1A3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1套</w:t>
            </w:r>
          </w:p>
        </w:tc>
        <w:tc>
          <w:tcPr>
            <w:tcW w:w="1677" w:type="dxa"/>
            <w:shd w:val="clear" w:color="auto" w:fill="auto"/>
            <w:vAlign w:val="center"/>
          </w:tcPr>
          <w:p w14:paraId="71956988">
            <w:pPr>
              <w:widowControl/>
              <w:spacing w:line="240" w:lineRule="auto"/>
              <w:jc w:val="left"/>
              <w:rPr>
                <w:rFonts w:hint="eastAsia" w:ascii="宋体" w:hAnsi="宋体" w:eastAsia="宋体"/>
                <w:color w:val="auto"/>
                <w:sz w:val="24"/>
                <w:highlight w:val="none"/>
                <w:lang w:val="en-US" w:eastAsia="zh-CN"/>
              </w:rPr>
            </w:pPr>
          </w:p>
        </w:tc>
        <w:tc>
          <w:tcPr>
            <w:tcW w:w="1631" w:type="dxa"/>
            <w:vAlign w:val="center"/>
          </w:tcPr>
          <w:p w14:paraId="6FABCFBD">
            <w:pPr>
              <w:widowControl/>
              <w:spacing w:line="240" w:lineRule="auto"/>
              <w:jc w:val="left"/>
              <w:rPr>
                <w:rFonts w:hint="eastAsia" w:ascii="宋体" w:hAnsi="宋体" w:eastAsia="宋体"/>
                <w:color w:val="auto"/>
                <w:sz w:val="24"/>
                <w:highlight w:val="none"/>
                <w:lang w:val="en-US" w:eastAsia="zh-CN"/>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004" w:type="dxa"/>
            <w:gridSpan w:val="5"/>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631"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313145F1">
      <w:pPr>
        <w:pStyle w:val="33"/>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5506AA03">
      <w:pPr>
        <w:spacing w:line="360" w:lineRule="auto"/>
      </w:pPr>
      <w:r>
        <w:rPr>
          <w:rFonts w:hint="eastAsia" w:ascii="宋体" w:hAnsi="宋体"/>
          <w:color w:val="auto"/>
          <w:sz w:val="24"/>
          <w:highlight w:val="none"/>
        </w:rPr>
        <w:t>日期：</w:t>
      </w:r>
    </w:p>
    <w:p w14:paraId="306A05C1">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1DE284B"/>
    <w:rsid w:val="02BC2FB5"/>
    <w:rsid w:val="03511AD9"/>
    <w:rsid w:val="03ED3BD7"/>
    <w:rsid w:val="045E36B4"/>
    <w:rsid w:val="046E6DD0"/>
    <w:rsid w:val="047E5946"/>
    <w:rsid w:val="04C91366"/>
    <w:rsid w:val="05017C52"/>
    <w:rsid w:val="050A167C"/>
    <w:rsid w:val="052E1A28"/>
    <w:rsid w:val="056025B0"/>
    <w:rsid w:val="05A14692"/>
    <w:rsid w:val="05B64224"/>
    <w:rsid w:val="061C715B"/>
    <w:rsid w:val="0696261C"/>
    <w:rsid w:val="069E7A64"/>
    <w:rsid w:val="06C453DB"/>
    <w:rsid w:val="07702EBF"/>
    <w:rsid w:val="08293E73"/>
    <w:rsid w:val="0972111F"/>
    <w:rsid w:val="09A06EBC"/>
    <w:rsid w:val="0A482682"/>
    <w:rsid w:val="0AF75143"/>
    <w:rsid w:val="0B043CFB"/>
    <w:rsid w:val="0CA2647A"/>
    <w:rsid w:val="0CFB142B"/>
    <w:rsid w:val="0D2167C4"/>
    <w:rsid w:val="0D2D3085"/>
    <w:rsid w:val="0DAA7832"/>
    <w:rsid w:val="0DD979BE"/>
    <w:rsid w:val="0E0D1416"/>
    <w:rsid w:val="0E715E49"/>
    <w:rsid w:val="0FBD7DE5"/>
    <w:rsid w:val="10362DC0"/>
    <w:rsid w:val="10CE3388"/>
    <w:rsid w:val="10E42CCD"/>
    <w:rsid w:val="11790FDD"/>
    <w:rsid w:val="11AD4ADB"/>
    <w:rsid w:val="126445BB"/>
    <w:rsid w:val="142E65C5"/>
    <w:rsid w:val="14DD66A2"/>
    <w:rsid w:val="15512530"/>
    <w:rsid w:val="164556E1"/>
    <w:rsid w:val="16810234"/>
    <w:rsid w:val="17254BB9"/>
    <w:rsid w:val="175D4ED0"/>
    <w:rsid w:val="17A728DB"/>
    <w:rsid w:val="192817FA"/>
    <w:rsid w:val="199476C8"/>
    <w:rsid w:val="19C44ADF"/>
    <w:rsid w:val="19F043F2"/>
    <w:rsid w:val="1A0F193E"/>
    <w:rsid w:val="1A512FD2"/>
    <w:rsid w:val="1AA3690C"/>
    <w:rsid w:val="1AC71843"/>
    <w:rsid w:val="1AD364FF"/>
    <w:rsid w:val="1ADE3486"/>
    <w:rsid w:val="1B08700D"/>
    <w:rsid w:val="1B261D69"/>
    <w:rsid w:val="1BF43CB2"/>
    <w:rsid w:val="1C292FC0"/>
    <w:rsid w:val="1C7D1E5D"/>
    <w:rsid w:val="1DAA6E61"/>
    <w:rsid w:val="1E0F3C2B"/>
    <w:rsid w:val="1E2C09AB"/>
    <w:rsid w:val="1E897F61"/>
    <w:rsid w:val="1F1C42EA"/>
    <w:rsid w:val="1F686EFF"/>
    <w:rsid w:val="1F87181B"/>
    <w:rsid w:val="1FB37FF3"/>
    <w:rsid w:val="21150CB8"/>
    <w:rsid w:val="213B2764"/>
    <w:rsid w:val="21657A51"/>
    <w:rsid w:val="227710FC"/>
    <w:rsid w:val="22F17F9F"/>
    <w:rsid w:val="23B73EA6"/>
    <w:rsid w:val="23F4427C"/>
    <w:rsid w:val="25284930"/>
    <w:rsid w:val="25333A88"/>
    <w:rsid w:val="25776FB2"/>
    <w:rsid w:val="26B047DC"/>
    <w:rsid w:val="26BD4622"/>
    <w:rsid w:val="26C54B2C"/>
    <w:rsid w:val="27BC5F2F"/>
    <w:rsid w:val="27C42B43"/>
    <w:rsid w:val="28C13F2B"/>
    <w:rsid w:val="292A5ED6"/>
    <w:rsid w:val="2A604980"/>
    <w:rsid w:val="2A727AC6"/>
    <w:rsid w:val="2B5318E1"/>
    <w:rsid w:val="2BCE7FDF"/>
    <w:rsid w:val="2C226920"/>
    <w:rsid w:val="2CC80594"/>
    <w:rsid w:val="2D1F6544"/>
    <w:rsid w:val="2D484F7D"/>
    <w:rsid w:val="2D8017AD"/>
    <w:rsid w:val="2DDE2D69"/>
    <w:rsid w:val="2E1E7D97"/>
    <w:rsid w:val="2EBE2586"/>
    <w:rsid w:val="2ECC1930"/>
    <w:rsid w:val="2F4F4B8D"/>
    <w:rsid w:val="31144260"/>
    <w:rsid w:val="312D39F9"/>
    <w:rsid w:val="31A35457"/>
    <w:rsid w:val="31B67ACD"/>
    <w:rsid w:val="334D7ECB"/>
    <w:rsid w:val="336F02F9"/>
    <w:rsid w:val="33F45566"/>
    <w:rsid w:val="34160775"/>
    <w:rsid w:val="3444677B"/>
    <w:rsid w:val="34EF6DE8"/>
    <w:rsid w:val="3503072C"/>
    <w:rsid w:val="356F257B"/>
    <w:rsid w:val="35786F8C"/>
    <w:rsid w:val="3591710A"/>
    <w:rsid w:val="35E30AE8"/>
    <w:rsid w:val="36F5483C"/>
    <w:rsid w:val="389425B0"/>
    <w:rsid w:val="39137979"/>
    <w:rsid w:val="39524D90"/>
    <w:rsid w:val="3A9D764F"/>
    <w:rsid w:val="3BC31FF0"/>
    <w:rsid w:val="3C271A02"/>
    <w:rsid w:val="3C65673D"/>
    <w:rsid w:val="3CE851D3"/>
    <w:rsid w:val="3D035E9B"/>
    <w:rsid w:val="3D50551B"/>
    <w:rsid w:val="3D6C7658"/>
    <w:rsid w:val="3DC2628F"/>
    <w:rsid w:val="3DD60AE2"/>
    <w:rsid w:val="3E5C0069"/>
    <w:rsid w:val="3E797AD2"/>
    <w:rsid w:val="3E7A2DAA"/>
    <w:rsid w:val="3E8B1175"/>
    <w:rsid w:val="3EB412B6"/>
    <w:rsid w:val="3F9E5AC2"/>
    <w:rsid w:val="3FAC28BB"/>
    <w:rsid w:val="3FB97B2C"/>
    <w:rsid w:val="40181D19"/>
    <w:rsid w:val="40884CA9"/>
    <w:rsid w:val="40BD676E"/>
    <w:rsid w:val="417E75E8"/>
    <w:rsid w:val="41910115"/>
    <w:rsid w:val="41D908F9"/>
    <w:rsid w:val="423D1534"/>
    <w:rsid w:val="438B3EDE"/>
    <w:rsid w:val="44261222"/>
    <w:rsid w:val="4495014D"/>
    <w:rsid w:val="44AD0C2A"/>
    <w:rsid w:val="44F31851"/>
    <w:rsid w:val="45AA573E"/>
    <w:rsid w:val="45B275F5"/>
    <w:rsid w:val="46BC33FE"/>
    <w:rsid w:val="46EE7477"/>
    <w:rsid w:val="47B656EC"/>
    <w:rsid w:val="47BC0C07"/>
    <w:rsid w:val="47EB4726"/>
    <w:rsid w:val="486D6713"/>
    <w:rsid w:val="489259CA"/>
    <w:rsid w:val="498B3956"/>
    <w:rsid w:val="4A4E42C3"/>
    <w:rsid w:val="4BB0030E"/>
    <w:rsid w:val="4BC53306"/>
    <w:rsid w:val="4C15710C"/>
    <w:rsid w:val="4C2E5FB6"/>
    <w:rsid w:val="4C63431C"/>
    <w:rsid w:val="4C9444D5"/>
    <w:rsid w:val="4CE2174D"/>
    <w:rsid w:val="4D505935"/>
    <w:rsid w:val="4D72372E"/>
    <w:rsid w:val="4E141911"/>
    <w:rsid w:val="4E370E84"/>
    <w:rsid w:val="4EBB778D"/>
    <w:rsid w:val="4F7C19ED"/>
    <w:rsid w:val="4FB142EA"/>
    <w:rsid w:val="4FE70DC0"/>
    <w:rsid w:val="506863A4"/>
    <w:rsid w:val="507D6E7C"/>
    <w:rsid w:val="508F27C5"/>
    <w:rsid w:val="50F55D99"/>
    <w:rsid w:val="513814F5"/>
    <w:rsid w:val="513B5867"/>
    <w:rsid w:val="51497716"/>
    <w:rsid w:val="51A30093"/>
    <w:rsid w:val="520457CB"/>
    <w:rsid w:val="522C2C59"/>
    <w:rsid w:val="539774E2"/>
    <w:rsid w:val="53C953AC"/>
    <w:rsid w:val="541A03F5"/>
    <w:rsid w:val="54C5216A"/>
    <w:rsid w:val="54D577A2"/>
    <w:rsid w:val="5527238A"/>
    <w:rsid w:val="55357439"/>
    <w:rsid w:val="56436A5D"/>
    <w:rsid w:val="571B7CCD"/>
    <w:rsid w:val="57286DB3"/>
    <w:rsid w:val="57315742"/>
    <w:rsid w:val="589A572D"/>
    <w:rsid w:val="589B7196"/>
    <w:rsid w:val="58C92DB8"/>
    <w:rsid w:val="590271D1"/>
    <w:rsid w:val="594608FB"/>
    <w:rsid w:val="5A2C4216"/>
    <w:rsid w:val="5A3433AD"/>
    <w:rsid w:val="5A550A07"/>
    <w:rsid w:val="5B761B8D"/>
    <w:rsid w:val="5BC000BF"/>
    <w:rsid w:val="5D01514B"/>
    <w:rsid w:val="5DBA0782"/>
    <w:rsid w:val="5F2D396D"/>
    <w:rsid w:val="60D04179"/>
    <w:rsid w:val="60E47381"/>
    <w:rsid w:val="61C7729B"/>
    <w:rsid w:val="62641034"/>
    <w:rsid w:val="6374691F"/>
    <w:rsid w:val="63BA7B71"/>
    <w:rsid w:val="63BC0257"/>
    <w:rsid w:val="643B2EFE"/>
    <w:rsid w:val="644665A5"/>
    <w:rsid w:val="64CE267E"/>
    <w:rsid w:val="65005919"/>
    <w:rsid w:val="657B396B"/>
    <w:rsid w:val="665A019F"/>
    <w:rsid w:val="6672068F"/>
    <w:rsid w:val="66AD46B9"/>
    <w:rsid w:val="670C6B88"/>
    <w:rsid w:val="67BF44A6"/>
    <w:rsid w:val="68975621"/>
    <w:rsid w:val="689F61CC"/>
    <w:rsid w:val="68AC5DD9"/>
    <w:rsid w:val="68C926A3"/>
    <w:rsid w:val="692857E0"/>
    <w:rsid w:val="69935D1A"/>
    <w:rsid w:val="69E70454"/>
    <w:rsid w:val="6A6C5C24"/>
    <w:rsid w:val="6A832AFB"/>
    <w:rsid w:val="6B5E6742"/>
    <w:rsid w:val="6CD40DBF"/>
    <w:rsid w:val="6D0D24E0"/>
    <w:rsid w:val="6D4B5988"/>
    <w:rsid w:val="6DA050EC"/>
    <w:rsid w:val="6DFD21E5"/>
    <w:rsid w:val="6E0440FB"/>
    <w:rsid w:val="6ED44ED9"/>
    <w:rsid w:val="70030FCD"/>
    <w:rsid w:val="703B20B6"/>
    <w:rsid w:val="724A1DFC"/>
    <w:rsid w:val="72845AC6"/>
    <w:rsid w:val="72916AD9"/>
    <w:rsid w:val="72F8490A"/>
    <w:rsid w:val="73D239B1"/>
    <w:rsid w:val="73ED08CD"/>
    <w:rsid w:val="73F676A0"/>
    <w:rsid w:val="74120755"/>
    <w:rsid w:val="745C662B"/>
    <w:rsid w:val="74B308B5"/>
    <w:rsid w:val="75247769"/>
    <w:rsid w:val="753F0E71"/>
    <w:rsid w:val="75577977"/>
    <w:rsid w:val="75645785"/>
    <w:rsid w:val="75716A92"/>
    <w:rsid w:val="758D2516"/>
    <w:rsid w:val="7599235F"/>
    <w:rsid w:val="75AE2AF5"/>
    <w:rsid w:val="75BD7F3E"/>
    <w:rsid w:val="782C5454"/>
    <w:rsid w:val="7858402F"/>
    <w:rsid w:val="78D50787"/>
    <w:rsid w:val="78EE5436"/>
    <w:rsid w:val="79B17807"/>
    <w:rsid w:val="79FE2EB5"/>
    <w:rsid w:val="7AE26EA4"/>
    <w:rsid w:val="7B8F04A8"/>
    <w:rsid w:val="7C95557C"/>
    <w:rsid w:val="7D3A4490"/>
    <w:rsid w:val="7D3F0A9F"/>
    <w:rsid w:val="7DC41D70"/>
    <w:rsid w:val="7EA10B41"/>
    <w:rsid w:val="7F034C8E"/>
    <w:rsid w:val="7F45035F"/>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10543</Words>
  <Characters>11062</Characters>
  <Lines>186</Lines>
  <Paragraphs>52</Paragraphs>
  <TotalTime>3</TotalTime>
  <ScaleCrop>false</ScaleCrop>
  <LinksUpToDate>false</LinksUpToDate>
  <CharactersWithSpaces>11722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2025-12-08T08:23:47Z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