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JJZB-WJ-2025036</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福州职业技术学院2025年度人工智能技术应用专业群专项调研服务项目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福州职业技术学院2025年度人工智能技术应用专业群专项调研服务项目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JJZB-WJ-2025036</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福州职业技术学院2025年度人工智能技术应用专业群专项调研服务项目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：林峰 15080465004</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30567034"/>
      <w:bookmarkStart w:id="5" w:name="_Toc347060296"/>
      <w:bookmarkStart w:id="6" w:name="_Toc346300367"/>
      <w:r>
        <w:rPr>
          <w:rFonts w:hint="eastAsia" w:ascii="宋体" w:hAnsi="宋体" w:cs="宋体"/>
          <w:b/>
          <w:color w:val="auto"/>
          <w:sz w:val="24"/>
          <w:szCs w:val="24"/>
          <w:highlight w:val="none"/>
        </w:rPr>
        <w:t>一、项目概述</w:t>
      </w:r>
      <w:bookmarkEnd w:id="1"/>
      <w:bookmarkEnd w:id="2"/>
    </w:p>
    <w:p w14:paraId="2CB8F453">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总体目标：通过引入专业、客观的第三方调研服务，系统性地收集在校生、教职工、毕业生及用人单位等多维度数据，全面评估专业群在学生满意度、教职工满意度、区域经济吻合度等方面的成效与不足，形成科学、翔实的分析报告，为学院优化人才培养方案、改进教学管理、提升服务质量提供精准的数据支持和决策依据，助力专业群高质量、特色化发展。</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82"/>
        <w:gridCol w:w="1990"/>
        <w:gridCol w:w="781"/>
        <w:gridCol w:w="1775"/>
        <w:gridCol w:w="2342"/>
        <w:gridCol w:w="11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2025年度人工智能技术应用专业群专项调研服务</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自签订合同之日起15日内交付完成</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96000.00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：劳务、管理、税费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777E230">
      <w:pPr>
        <w:keepNext w:val="0"/>
        <w:keepLines w:val="0"/>
        <w:pageBreakBefore w:val="0"/>
        <w:kinsoku/>
        <w:wordWrap/>
        <w:overflowPunct/>
        <w:topLinePunct w:val="0"/>
        <w:autoSpaceDE/>
        <w:autoSpaceDN/>
        <w:bidi w:val="0"/>
        <w:adjustRightInd/>
        <w:spacing w:line="400" w:lineRule="exact"/>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b/>
          <w:sz w:val="24"/>
          <w:szCs w:val="24"/>
          <w:lang w:val="en-US" w:eastAsia="zh-CN"/>
        </w:rPr>
        <w:t>（一）服务要求：</w:t>
      </w:r>
    </w:p>
    <w:tbl>
      <w:tblPr>
        <w:tblStyle w:val="2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378"/>
        <w:gridCol w:w="4867"/>
        <w:gridCol w:w="551"/>
        <w:gridCol w:w="612"/>
        <w:gridCol w:w="760"/>
        <w:gridCol w:w="854"/>
      </w:tblGrid>
      <w:tr w14:paraId="0176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0ADCF9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序号</w:t>
            </w:r>
          </w:p>
        </w:tc>
        <w:tc>
          <w:tcPr>
            <w:tcW w:w="1378" w:type="dxa"/>
            <w:vAlign w:val="center"/>
          </w:tcPr>
          <w:p w14:paraId="5239E9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服务项目</w:t>
            </w:r>
          </w:p>
        </w:tc>
        <w:tc>
          <w:tcPr>
            <w:tcW w:w="4867" w:type="dxa"/>
            <w:vAlign w:val="center"/>
          </w:tcPr>
          <w:p w14:paraId="4233A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服务内容</w:t>
            </w:r>
          </w:p>
        </w:tc>
        <w:tc>
          <w:tcPr>
            <w:tcW w:w="551" w:type="dxa"/>
            <w:vAlign w:val="center"/>
          </w:tcPr>
          <w:p w14:paraId="5719DA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数量</w:t>
            </w:r>
          </w:p>
        </w:tc>
        <w:tc>
          <w:tcPr>
            <w:tcW w:w="612" w:type="dxa"/>
            <w:vAlign w:val="center"/>
          </w:tcPr>
          <w:p w14:paraId="48C196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单位</w:t>
            </w:r>
          </w:p>
        </w:tc>
        <w:tc>
          <w:tcPr>
            <w:tcW w:w="760" w:type="dxa"/>
            <w:vAlign w:val="center"/>
          </w:tcPr>
          <w:p w14:paraId="5D2B51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单价最高限价（元）</w:t>
            </w:r>
          </w:p>
        </w:tc>
        <w:tc>
          <w:tcPr>
            <w:tcW w:w="854" w:type="dxa"/>
            <w:vAlign w:val="center"/>
          </w:tcPr>
          <w:p w14:paraId="0AA2838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总价最高限价（元）</w:t>
            </w:r>
          </w:p>
        </w:tc>
      </w:tr>
      <w:tr w14:paraId="65F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52F04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8" w:type="dxa"/>
            <w:vAlign w:val="center"/>
          </w:tcPr>
          <w:p w14:paraId="7D739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在校生满意度调研服务</w:t>
            </w:r>
          </w:p>
        </w:tc>
        <w:tc>
          <w:tcPr>
            <w:tcW w:w="4867" w:type="dxa"/>
            <w:vAlign w:val="center"/>
          </w:tcPr>
          <w:p w14:paraId="12A8DC6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1、调研目的：全面了解在校生对专业群教学、管理、服务等各方面的整体满意度，涵盖课堂教学、师资水平、学习资源、就业指导等。</w:t>
            </w:r>
          </w:p>
          <w:p w14:paraId="24375D4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2、调研对象：专业群全体在校生。</w:t>
            </w:r>
          </w:p>
          <w:p w14:paraId="3E6B888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203D5D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（1）问卷设计：设计综合性强的满意度量表，覆盖核心办学环节。</w:t>
            </w:r>
          </w:p>
          <w:p w14:paraId="4058183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（2）数据采集：实施高比例（不低于80%）样本调查，确保各年级、班级均有足够代表性。</w:t>
            </w:r>
          </w:p>
          <w:p w14:paraId="187F2F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（3）分析报告：报告需呈现整体满意度及各分项满意度，进行跨年级、跨专业的对比分析，识别满意度短板，提出系统性改进建议。</w:t>
            </w:r>
          </w:p>
        </w:tc>
        <w:tc>
          <w:tcPr>
            <w:tcW w:w="551" w:type="dxa"/>
            <w:vAlign w:val="center"/>
          </w:tcPr>
          <w:p w14:paraId="687679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5F5010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25F27D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35308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2E7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71210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78" w:type="dxa"/>
            <w:vAlign w:val="center"/>
          </w:tcPr>
          <w:p w14:paraId="555B2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教职工满意度调研服务</w:t>
            </w:r>
          </w:p>
        </w:tc>
        <w:tc>
          <w:tcPr>
            <w:tcW w:w="4867" w:type="dxa"/>
            <w:vAlign w:val="center"/>
          </w:tcPr>
          <w:p w14:paraId="13564CA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1、调研目的：了解教职工对学院工作环境、管理机制、专业发展支持、薪酬福利等方面的满意度，激发教职工队伍活力。</w:t>
            </w:r>
          </w:p>
          <w:p w14:paraId="0B28E65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2、调研对象：专业群全体教职工，包括专任教师、辅导员、行政管理人员。</w:t>
            </w:r>
          </w:p>
          <w:p w14:paraId="2C5787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451A3D5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（1）问卷设计：设计匿名问卷，确保教职工能够坦诚反馈。</w:t>
            </w:r>
          </w:p>
          <w:p w14:paraId="7F0098E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（2）数据采集：鼓励全体教职工参与，保证较高的参与率。</w:t>
            </w:r>
          </w:p>
          <w:p w14:paraId="22B9595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（3）分析报告：报告需客观呈现教职工的核心诉求与主要关切，为学院优化管理、提升教职工幸福感与归属感提供决策参考。</w:t>
            </w:r>
          </w:p>
        </w:tc>
        <w:tc>
          <w:tcPr>
            <w:tcW w:w="551" w:type="dxa"/>
            <w:vAlign w:val="center"/>
          </w:tcPr>
          <w:p w14:paraId="51495A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71207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603085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28732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6542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4D6B5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78" w:type="dxa"/>
            <w:vAlign w:val="center"/>
          </w:tcPr>
          <w:p w14:paraId="4A9393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专业群与区域经济吻合度调研服务</w:t>
            </w:r>
          </w:p>
        </w:tc>
        <w:tc>
          <w:tcPr>
            <w:tcW w:w="4867" w:type="dxa"/>
            <w:vAlign w:val="center"/>
          </w:tcPr>
          <w:p w14:paraId="7B76AA2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1、调研目的：评估专业群人才培养目标、课程体系、毕业生能力与福州及周边区域人工智能产业需求的匹配程度，为专业动态调整提供依据。</w:t>
            </w:r>
          </w:p>
          <w:p w14:paraId="7751A60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2、调研对象：合作企业人力资源负责人、技术部门主管、近三年毕业生代表。</w:t>
            </w:r>
          </w:p>
          <w:p w14:paraId="06BA93C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00CD2AD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（1）调研设计：采用“企业问卷+毕业生问卷+重点企业访谈”相结合的方式。</w:t>
            </w:r>
          </w:p>
          <w:p w14:paraId="02A4997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问卷与访谈提纲设计：企业问卷需关注对毕业生知识结构、专业技能、职业素养的评价及未来人才需求趋势；毕业生问卷需关注在校所学与岗位需求的匹配度、对课程设置的建议；访谈提纲需深入挖掘产教融合的具体路径。</w:t>
            </w:r>
          </w:p>
          <w:p w14:paraId="30870E5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（3）数据采集：调研应覆盖本地区主要合作企业不少于15家，回收有效毕业生问卷不少于200份。</w:t>
            </w:r>
          </w:p>
          <w:p w14:paraId="070E374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（4）分析报告：报告需详细分析吻合度与差距，形成“人才需求－培养过程－就业质量”的闭环分析，提出专业设置、课程改革、实践教学等方面的具体建议。</w:t>
            </w:r>
          </w:p>
        </w:tc>
        <w:tc>
          <w:tcPr>
            <w:tcW w:w="551" w:type="dxa"/>
            <w:vAlign w:val="center"/>
          </w:tcPr>
          <w:p w14:paraId="1B0E6F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31DA3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0152AF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68DC7F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3A58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76CF98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378" w:type="dxa"/>
            <w:vAlign w:val="center"/>
          </w:tcPr>
          <w:p w14:paraId="08B4F9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“一站式”学生社区满意度调研服务</w:t>
            </w:r>
          </w:p>
        </w:tc>
        <w:tc>
          <w:tcPr>
            <w:tcW w:w="4867" w:type="dxa"/>
            <w:vAlign w:val="center"/>
          </w:tcPr>
          <w:p w14:paraId="4D9D074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1、调研目的：全面评估“博学社区”在管理机制、服务效能、文化建设、学生“四自”能力培养等方面的实施效果，发现存在的问题，为社区精细化、内涵式建设提供改进方向。</w:t>
            </w:r>
          </w:p>
          <w:p w14:paraId="4F613A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2、调研对象：入驻“博学社区”的全体学生、辅导员、社区管理工作人员及相关专任教师。</w:t>
            </w:r>
          </w:p>
          <w:p w14:paraId="79776EA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693380E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（1）问卷设计：设计涵盖社区管理机制、服务效能、平台利用、活动参与、文化氛围及整体满意度的标准化问卷。问卷需区分学生、教师等不同身份，设置差异化问题。</w:t>
            </w:r>
          </w:p>
          <w:p w14:paraId="0558A94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（2）数据采集：确保样本覆盖专业群各年级、各专业，学生样本量不低于总体的80%，核心教职工样本应全覆盖。采用线上问卷为主、线下补充访谈为辅的方式，保证数据真实有效。</w:t>
            </w:r>
          </w:p>
          <w:p w14:paraId="176AFC3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（3）分析报告：报告需包含对四级网格化管理效率、三大平台（党建工作室、社区团总支、灯塔工作室）服务效果、特色活动吸引力的深度分析，并针对“最需改进的方面”提出具体、可操作的建议。</w:t>
            </w:r>
          </w:p>
        </w:tc>
        <w:tc>
          <w:tcPr>
            <w:tcW w:w="551" w:type="dxa"/>
            <w:vAlign w:val="center"/>
          </w:tcPr>
          <w:p w14:paraId="466CC7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651029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590D9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5FCEF1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61FB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78F957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378" w:type="dxa"/>
            <w:vAlign w:val="center"/>
          </w:tcPr>
          <w:p w14:paraId="3A7EB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实践育人活动满意度调研服务</w:t>
            </w:r>
          </w:p>
        </w:tc>
        <w:tc>
          <w:tcPr>
            <w:tcW w:w="4867" w:type="dxa"/>
            <w:vAlign w:val="center"/>
          </w:tcPr>
          <w:p w14:paraId="19ACFA2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1、调研目的：评估专业群各类实践育人活动的组织管理、内容设计、师资指导及对学生能力提升的实际效果。</w:t>
            </w:r>
          </w:p>
          <w:p w14:paraId="3503BB5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2、调研对象：参与过本年度专业群组织的实践育人活动的全体在校生及活动指导老师。</w:t>
            </w:r>
          </w:p>
          <w:p w14:paraId="0CF8572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6A78FD6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（1）问卷设计：设计针对活动时间安排、场地设备、导师水平、内容与专业关联度、能力提升效果及整体满意度的问卷。</w:t>
            </w:r>
          </w:p>
          <w:p w14:paraId="178663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（2）数据采集：针对2025年度主要实践活动，对参与学生进行高比例（不低于80%）抽样调查。对指导教师进行深度访谈，获取组织者视角的反馈。</w:t>
            </w:r>
          </w:p>
          <w:p w14:paraId="11E3FBE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（3）分析报告：报告需量化分析各项活动的满意度得分，重点分析“最需要改进的方面”，并对比不同年级、不同活动类型的差异，提出优化活动设计与组织的策略。</w:t>
            </w:r>
          </w:p>
        </w:tc>
        <w:tc>
          <w:tcPr>
            <w:tcW w:w="551" w:type="dxa"/>
            <w:vAlign w:val="center"/>
          </w:tcPr>
          <w:p w14:paraId="598DA2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49EAD4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157E7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243A40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5262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6729B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378" w:type="dxa"/>
            <w:vAlign w:val="center"/>
          </w:tcPr>
          <w:p w14:paraId="7CE67D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工匠精神培育活动满意度调研服务</w:t>
            </w:r>
          </w:p>
        </w:tc>
        <w:tc>
          <w:tcPr>
            <w:tcW w:w="4867" w:type="dxa"/>
            <w:vAlign w:val="center"/>
          </w:tcPr>
          <w:p w14:paraId="2B11131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1、调研目的：检验“劳模工匠进校园”等主题活动的育人效果，了解学生对活动形式、内容、嘉宾分享的接受度与收获感，弘扬工匠精神。</w:t>
            </w:r>
          </w:p>
          <w:p w14:paraId="4C07A26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2、调研对象：参与过“劳模工匠进校园”等相关活动的专业群在校生。</w:t>
            </w:r>
          </w:p>
          <w:p w14:paraId="4F7FAC3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6E1912D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（1）问卷设计：设计涵盖活动整体满意度、内容贴近度、环节兴趣度、嘉宾启发性、形式有效性及改进建议的问卷。</w:t>
            </w:r>
          </w:p>
          <w:p w14:paraId="424D88C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（2）数据采集：对活动参与者进行全覆盖调查，确保反馈及时。</w:t>
            </w:r>
          </w:p>
          <w:p w14:paraId="4F73936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（3）分析报告：报告需分析学生最感兴趣的环节和最有收获的内容，明确未来活动应强化的重点和应增加的环节（如技术实操、企业参观等），为后续活动策划提供精准指引。</w:t>
            </w:r>
          </w:p>
        </w:tc>
        <w:tc>
          <w:tcPr>
            <w:tcW w:w="551" w:type="dxa"/>
            <w:vAlign w:val="center"/>
          </w:tcPr>
          <w:p w14:paraId="35CB9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5C0E20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6A9387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705F8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7B6A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5AC57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378" w:type="dxa"/>
            <w:vAlign w:val="center"/>
          </w:tcPr>
          <w:p w14:paraId="2D242A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学生家长满意度调研</w:t>
            </w:r>
          </w:p>
          <w:p w14:paraId="0FFB87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w:t>
            </w:r>
          </w:p>
        </w:tc>
        <w:tc>
          <w:tcPr>
            <w:tcW w:w="4867" w:type="dxa"/>
            <w:vAlign w:val="center"/>
          </w:tcPr>
          <w:p w14:paraId="56538C3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1、调研目的：全面了解学生家长对专业群人才培养质量、教学管理、安全保障、家校沟通、就业前景等方面的满意度与期望，构建家校协同育人机制，提升专业群办学公信力。</w:t>
            </w:r>
          </w:p>
          <w:p w14:paraId="2CCEAA5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2、调研对象：专业群全体在校生的家长（按年级分层抽样，确保各年级家长样本均衡）。</w:t>
            </w:r>
          </w:p>
          <w:p w14:paraId="55A5474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2FCBAC9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（1）问卷设计：设计兼顾科学性与通俗性的匿名问卷，涵盖专业认可度、教学质量评价、安全管理满意度、家校沟通有效性、学生成长变化感知、就业支持期望等核心维度。</w:t>
            </w:r>
          </w:p>
          <w:p w14:paraId="1AC9772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（2）数据采集：采用线上问卷为主、线下电话回访为辅的方式，回收有效问卷不少于200份，确保样本覆盖不同地区、不同职业背景的家长群体。</w:t>
            </w:r>
          </w:p>
          <w:p w14:paraId="0B346EA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（3）分析报告：报告需量化呈现家长整体满意度及各分项维度得分，对比不同年级、不同家庭背景家长的认知差异。</w:t>
            </w:r>
          </w:p>
        </w:tc>
        <w:tc>
          <w:tcPr>
            <w:tcW w:w="551" w:type="dxa"/>
            <w:vAlign w:val="center"/>
          </w:tcPr>
          <w:p w14:paraId="15A442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238F9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6B8B7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3BD608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3B3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5" w:type="dxa"/>
            <w:vAlign w:val="center"/>
          </w:tcPr>
          <w:p w14:paraId="754C7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378" w:type="dxa"/>
            <w:vAlign w:val="center"/>
          </w:tcPr>
          <w:p w14:paraId="56FB0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用人单位满意度调研</w:t>
            </w:r>
          </w:p>
          <w:p w14:paraId="5D03D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w:t>
            </w:r>
          </w:p>
        </w:tc>
        <w:tc>
          <w:tcPr>
            <w:tcW w:w="4867" w:type="dxa"/>
            <w:vAlign w:val="center"/>
          </w:tcPr>
          <w:p w14:paraId="11714F6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1、调研目的：系统评估用人单位对专业群毕业生的职业素养、专业技能、岗位适配性及发展潜力的认可程度，精准把握用人单位人才需求标准，为优化人才培养方案、深化产教融合提供直接依据。</w:t>
            </w:r>
          </w:p>
          <w:p w14:paraId="4D56A9E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2、调研对象：近三年接收专业群毕业生的各类用人单位（含国有企业、民营企业、高新技术企业等），涵盖人力资源部门负责人、直接用人部门主管及毕业生直属领导。</w:t>
            </w:r>
          </w:p>
          <w:p w14:paraId="23B748C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3、服务要求：</w:t>
            </w:r>
          </w:p>
          <w:p w14:paraId="6E80F7C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问卷设计：设计针对性强的调研问卷，涵盖毕业生职业道德、专业知识应用、实践操作能力、团队协作能力、学习创新能力、岗位忠诚度等核心评价指标，同时包含对人才培养的具体建议、未来招聘需求趋势等内容。</w:t>
            </w:r>
          </w:p>
          <w:p w14:paraId="369AE3F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（2）数据采集：调研覆盖用人单位不少于50家，回收有效问卷不少于100份；选取10家重点用人单位进行深度访谈，挖掘岗位能力要求细节与产教合作需求。</w:t>
            </w:r>
          </w:p>
          <w:p w14:paraId="1EDF90F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val="en-US" w:eastAsia="zh-CN"/>
              </w:rPr>
              <w:t>（3）分析报告：报告需全面呈现用人单位满意度评价结果，对比不同类型、不同规模企业的需求差异，建立“用人单位评价－毕业生能力－培养环节”的关联分析，提出强化实践教学、优化课程体系、加强职业素养培育等方面的可落地建议。</w:t>
            </w:r>
          </w:p>
        </w:tc>
        <w:tc>
          <w:tcPr>
            <w:tcW w:w="551" w:type="dxa"/>
            <w:vAlign w:val="center"/>
          </w:tcPr>
          <w:p w14:paraId="64276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2" w:type="dxa"/>
            <w:vAlign w:val="center"/>
          </w:tcPr>
          <w:p w14:paraId="05F15F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60" w:type="dxa"/>
            <w:vAlign w:val="center"/>
          </w:tcPr>
          <w:p w14:paraId="7F0AA9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c>
          <w:tcPr>
            <w:tcW w:w="854" w:type="dxa"/>
            <w:vAlign w:val="center"/>
          </w:tcPr>
          <w:p w14:paraId="5D85F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12000</w:t>
            </w:r>
          </w:p>
        </w:tc>
      </w:tr>
      <w:tr w14:paraId="1DB1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03" w:type="dxa"/>
            <w:gridSpan w:val="6"/>
            <w:vAlign w:val="center"/>
          </w:tcPr>
          <w:p w14:paraId="19487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元</w:t>
            </w:r>
            <w:r>
              <w:rPr>
                <w:rFonts w:hint="eastAsia" w:asciiTheme="minorEastAsia" w:hAnsiTheme="minorEastAsia" w:eastAsiaTheme="minorEastAsia" w:cstheme="minorEastAsia"/>
                <w:b/>
                <w:sz w:val="24"/>
                <w:szCs w:val="24"/>
                <w:lang w:eastAsia="zh-CN"/>
              </w:rPr>
              <w:t>）</w:t>
            </w:r>
          </w:p>
        </w:tc>
        <w:tc>
          <w:tcPr>
            <w:tcW w:w="854" w:type="dxa"/>
            <w:vAlign w:val="center"/>
          </w:tcPr>
          <w:p w14:paraId="0591A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cstheme="minorEastAsia"/>
                <w:b w:val="0"/>
                <w:bCs/>
                <w:sz w:val="24"/>
                <w:szCs w:val="24"/>
                <w:lang w:val="en-US" w:eastAsia="zh-CN"/>
              </w:rPr>
              <w:t>96000</w:t>
            </w:r>
          </w:p>
        </w:tc>
      </w:tr>
      <w:tr w14:paraId="1B6B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557" w:type="dxa"/>
            <w:gridSpan w:val="7"/>
            <w:vAlign w:val="center"/>
          </w:tcPr>
          <w:p w14:paraId="63E2BB8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rPr>
                <w:rFonts w:hint="eastAsia" w:asciiTheme="minorEastAsia" w:hAnsiTheme="minorEastAsia" w:cstheme="minorEastAsia"/>
                <w:b w:val="0"/>
                <w:bCs/>
                <w:sz w:val="24"/>
                <w:szCs w:val="24"/>
                <w:lang w:val="en-US" w:eastAsia="zh-CN"/>
              </w:rPr>
            </w:pPr>
            <w:r>
              <w:rPr>
                <w:rFonts w:hint="eastAsia" w:ascii="宋体" w:hAnsi="宋体" w:cs="宋体"/>
                <w:b/>
                <w:bCs/>
                <w:color w:val="auto"/>
                <w:kern w:val="0"/>
                <w:sz w:val="24"/>
                <w:szCs w:val="24"/>
                <w:highlight w:val="none"/>
                <w:lang w:val="en-US" w:eastAsia="zh-CN"/>
              </w:rPr>
              <w:t>注：上述所涉及的所有调查问卷、分析报告等内容的可行性、合理性均需经专家论证；专家人数为5人及以上，需从事人工智能技术、新一代信息技术、高等职业教育教学与研究等领域工作，具备正高级别职称；专家论证相关费用由供应商支付；供应商在组织专家活动前，须提供专家名单，经采购人审核确认后，方可实施。</w:t>
            </w:r>
          </w:p>
        </w:tc>
      </w:tr>
    </w:tbl>
    <w:p w14:paraId="36DD41BB">
      <w:pPr>
        <w:keepNext w:val="0"/>
        <w:keepLines w:val="0"/>
        <w:pageBreakBefore w:val="0"/>
        <w:numPr>
          <w:ilvl w:val="0"/>
          <w:numId w:val="0"/>
        </w:numPr>
        <w:kinsoku/>
        <w:wordWrap/>
        <w:overflowPunct/>
        <w:topLinePunct w:val="0"/>
        <w:autoSpaceDE/>
        <w:autoSpaceDN/>
        <w:bidi w:val="0"/>
        <w:adjustRightInd/>
        <w:spacing w:line="400" w:lineRule="exact"/>
        <w:ind w:left="315" w:leftChars="0" w:firstLine="0" w:firstLineChars="0"/>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kern w:val="2"/>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其中交付成果要求：</w:t>
      </w:r>
    </w:p>
    <w:p w14:paraId="525DA5B5">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val="en-US" w:eastAsia="zh-CN"/>
        </w:rPr>
        <w:t>、</w:t>
      </w:r>
      <w:r>
        <w:rPr>
          <w:rFonts w:hint="default" w:asciiTheme="minorEastAsia" w:hAnsiTheme="minorEastAsia" w:eastAsiaTheme="minorEastAsia" w:cstheme="minorEastAsia"/>
          <w:b w:val="0"/>
          <w:bCs/>
          <w:sz w:val="24"/>
          <w:szCs w:val="24"/>
          <w:lang w:val="en-US" w:eastAsia="zh-CN"/>
        </w:rPr>
        <w:t>各项目数据分析报告：每份报告应包含调研背景、调研方法、样本结构、核心发现</w:t>
      </w:r>
    </w:p>
    <w:p w14:paraId="3A827D7F">
      <w:pPr>
        <w:keepNext w:val="0"/>
        <w:keepLines w:val="0"/>
        <w:pageBreakBefore w:val="0"/>
        <w:numPr>
          <w:ilvl w:val="0"/>
          <w:numId w:val="0"/>
        </w:numPr>
        <w:kinsoku/>
        <w:wordWrap/>
        <w:overflowPunct/>
        <w:topLinePunct w:val="0"/>
        <w:autoSpaceDE/>
        <w:autoSpaceDN/>
        <w:bidi w:val="0"/>
        <w:adjustRightInd/>
        <w:spacing w:line="400" w:lineRule="exact"/>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sz w:val="24"/>
          <w:szCs w:val="24"/>
          <w:lang w:val="en-US" w:eastAsia="zh-CN"/>
        </w:rPr>
        <w:t>（图文并茂）、问题诊断、对策建议等部分。</w:t>
      </w:r>
    </w:p>
    <w:p w14:paraId="0E037209">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kern w:val="2"/>
          <w:sz w:val="24"/>
          <w:szCs w:val="24"/>
          <w:lang w:val="en-US" w:eastAsia="zh-CN" w:bidi="ar-SA"/>
        </w:rPr>
        <w:t>2</w:t>
      </w:r>
      <w:r>
        <w:rPr>
          <w:rFonts w:hint="eastAsia" w:asciiTheme="minorEastAsia" w:hAnsiTheme="minorEastAsia" w:eastAsiaTheme="minorEastAsia" w:cstheme="minorEastAsia"/>
          <w:b w:val="0"/>
          <w:bCs/>
          <w:kern w:val="2"/>
          <w:sz w:val="24"/>
          <w:szCs w:val="24"/>
          <w:lang w:val="en-US" w:eastAsia="zh-CN" w:bidi="ar-SA"/>
        </w:rPr>
        <w:t>、</w:t>
      </w:r>
      <w:r>
        <w:rPr>
          <w:rFonts w:hint="default" w:asciiTheme="minorEastAsia" w:hAnsiTheme="minorEastAsia" w:eastAsiaTheme="minorEastAsia" w:cstheme="minorEastAsia"/>
          <w:b w:val="0"/>
          <w:bCs/>
          <w:sz w:val="24"/>
          <w:szCs w:val="24"/>
          <w:lang w:val="en-US" w:eastAsia="zh-CN"/>
        </w:rPr>
        <w:t>项目总报告：在8个子项目报告基础上，整合形成一份全面的《2025年度人工智能技术应用专业群满意度专项调研总报告》，提炼核心结论，提出服务于“双高计划”建设的战略性、系统性发展建议。</w:t>
      </w:r>
    </w:p>
    <w:p w14:paraId="43CB7444">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kern w:val="2"/>
          <w:sz w:val="24"/>
          <w:szCs w:val="24"/>
          <w:lang w:val="en-US" w:eastAsia="zh-CN" w:bidi="ar-SA"/>
        </w:rPr>
        <w:t>3</w:t>
      </w:r>
      <w:r>
        <w:rPr>
          <w:rFonts w:hint="eastAsia" w:asciiTheme="minorEastAsia" w:hAnsiTheme="minorEastAsia" w:eastAsiaTheme="minorEastAsia" w:cstheme="minorEastAsia"/>
          <w:b w:val="0"/>
          <w:bCs/>
          <w:kern w:val="2"/>
          <w:sz w:val="24"/>
          <w:szCs w:val="24"/>
          <w:lang w:val="en-US" w:eastAsia="zh-CN" w:bidi="ar-SA"/>
        </w:rPr>
        <w:t>、</w:t>
      </w:r>
      <w:r>
        <w:rPr>
          <w:rFonts w:hint="default" w:asciiTheme="minorEastAsia" w:hAnsiTheme="minorEastAsia" w:eastAsiaTheme="minorEastAsia" w:cstheme="minorEastAsia"/>
          <w:b w:val="0"/>
          <w:bCs/>
          <w:sz w:val="24"/>
          <w:szCs w:val="24"/>
          <w:lang w:val="en-US" w:eastAsia="zh-CN"/>
        </w:rPr>
        <w:t>原始数据：提交所有清洗后的匿名化原始数据。</w:t>
      </w:r>
    </w:p>
    <w:p w14:paraId="28336CD8">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lang w:val="en-US" w:eastAsia="zh-CN"/>
        </w:rPr>
        <w:t>、</w:t>
      </w:r>
      <w:r>
        <w:rPr>
          <w:rFonts w:hint="default" w:asciiTheme="minorEastAsia" w:hAnsiTheme="minorEastAsia" w:eastAsiaTheme="minorEastAsia" w:cstheme="minorEastAsia"/>
          <w:b w:val="0"/>
          <w:bCs/>
          <w:sz w:val="24"/>
          <w:szCs w:val="24"/>
          <w:lang w:val="en-US" w:eastAsia="zh-CN"/>
        </w:rPr>
        <w:t>汇报与解读：</w:t>
      </w:r>
      <w:r>
        <w:rPr>
          <w:rFonts w:hint="eastAsia" w:asciiTheme="minorEastAsia" w:hAnsiTheme="minorEastAsia" w:eastAsiaTheme="minorEastAsia" w:cstheme="minorEastAsia"/>
          <w:b w:val="0"/>
          <w:bCs/>
          <w:sz w:val="24"/>
          <w:szCs w:val="24"/>
          <w:lang w:val="en-US" w:eastAsia="zh-CN"/>
        </w:rPr>
        <w:t>成交</w:t>
      </w:r>
      <w:r>
        <w:rPr>
          <w:rFonts w:hint="default" w:asciiTheme="minorEastAsia" w:hAnsiTheme="minorEastAsia" w:eastAsiaTheme="minorEastAsia" w:cstheme="minorEastAsia"/>
          <w:b w:val="0"/>
          <w:bCs/>
          <w:sz w:val="24"/>
          <w:szCs w:val="24"/>
          <w:lang w:val="en-US" w:eastAsia="zh-CN"/>
        </w:rPr>
        <w:t>供应商需向福州职业技术学院人工智能技术应用专业群负责人进行至少一次全面的调研成果汇报，并接受咨询答疑。</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val="en-US" w:eastAsia="zh-CN"/>
        </w:rPr>
        <w:t>爱心楼</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自签订合同之日起15日内交付完成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服务完成并经验收合格后，且采购人收到</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sz w:val="24"/>
          <w:szCs w:val="24"/>
          <w:highlight w:val="none"/>
        </w:rPr>
        <w:t>正式足额的增值税发票后的5个工作日内采购人支付合同总金额的100%</w:t>
      </w:r>
      <w:r>
        <w:rPr>
          <w:rFonts w:hint="eastAsia" w:ascii="宋体" w:hAnsi="宋体" w:eastAsia="宋体" w:cs="宋体"/>
          <w:b w:val="0"/>
          <w:bCs w:val="0"/>
          <w:color w:val="auto"/>
          <w:kern w:val="0"/>
          <w:sz w:val="24"/>
          <w:szCs w:val="24"/>
          <w:highlight w:val="none"/>
          <w:lang w:val="en-US" w:eastAsia="zh-CN" w:bidi="ar-SA"/>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607B1B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8、验收要求</w:t>
      </w:r>
    </w:p>
    <w:p w14:paraId="2947DF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需按照要求提供相应服务，无服务质量问题。</w:t>
      </w:r>
    </w:p>
    <w:p w14:paraId="320A6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9、保密条款</w:t>
      </w:r>
    </w:p>
    <w:p w14:paraId="59601D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9.1未经采购人事先书面同意，</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2560E1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9.2项目所列举的任何物件均是采购人的财产。如果采购人有要求，</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在收到采购人的要求后10日内应将这些物件及全部复制件还给采购人，不得留存任何备份。</w:t>
      </w:r>
    </w:p>
    <w:p w14:paraId="0CF314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违反本保密条款的，应按照合同总金额的4%支付违约金，</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须以转账方式支付给采购人，并赔偿由此给采购人造成的任何损失。本条款在合同履行期间至履行结束后均有效。</w:t>
      </w:r>
    </w:p>
    <w:p w14:paraId="4F56AA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10、知识产权</w:t>
      </w:r>
    </w:p>
    <w:p w14:paraId="53E92B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提供的服务或使用的产品、软件等应符合国家知识产权法律法规的规定；</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还应保证，采购人不受到第三方关于侵犯专利权、商标权或工业设计权等知识产权的指控，任何第三方就上述问题提出侵权指控，</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应与第三方交涉并承担可能发生的责任与一切费用。如采购人因此而遭致损失的，</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应赔偿该损失。</w:t>
      </w:r>
    </w:p>
    <w:p w14:paraId="64EA65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为执行本项目而提供的技术资料、软件，采购人有权进行使用，</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不得主张任何费用。</w:t>
      </w:r>
    </w:p>
    <w:p w14:paraId="43D98F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11、违约责任</w:t>
      </w:r>
    </w:p>
    <w:p w14:paraId="41B79A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违反项目规定的保密义务的，应在第一时间采取一切必要措施防止保密信息的扩散，尽最大可能消除影响，并应承担违约责任，向采购人支付违约金，违约金的具体数额为合同总金额的4%。同时，采购人有权解除合同。</w:t>
      </w:r>
    </w:p>
    <w:p w14:paraId="617CD1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逾期提供服务的</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应按逾期交付总额每日0.5%向采购人支付违约金，由采购人从待付货款中扣除。</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无正当理由逾期超过约定日期30日仍不能交付的，视为</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不按合同约定履约；</w:t>
      </w:r>
      <w:r>
        <w:rPr>
          <w:rFonts w:hint="eastAsia" w:asciiTheme="minorEastAsia" w:hAnsiTheme="minorEastAsia" w:eastAsiaTheme="minorEastAsia" w:cstheme="minorEastAsia"/>
          <w:kern w:val="2"/>
          <w:sz w:val="24"/>
          <w:szCs w:val="24"/>
          <w:lang w:val="en-US" w:eastAsia="zh-CN" w:bidi="ar-SA"/>
        </w:rPr>
        <w:t>成交供应商</w:t>
      </w:r>
      <w:r>
        <w:rPr>
          <w:rFonts w:hint="eastAsia" w:asciiTheme="minorEastAsia" w:hAnsiTheme="minorEastAsia" w:eastAsiaTheme="minorEastAsia" w:cstheme="minorEastAsia"/>
          <w:sz w:val="24"/>
          <w:szCs w:val="24"/>
          <w:lang w:val="en-US" w:eastAsia="zh-CN"/>
        </w:rPr>
        <w:t>所提供的服务不符合项目规定及《网上竞价文件》规定标准的，采购人有权拒绝，</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愿意整改但逾期履行的，按</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逾期履行处理。</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拒绝整改的，视为</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不按合同约定履约；</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不按合同约定履约的，采购人可以解除采购合同。</w:t>
      </w:r>
    </w:p>
    <w:p w14:paraId="4D0853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11.3因</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原因，致使服务及验收过程中导致第三方权益受损的，</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除应赔偿第三方相应的损失外，还应向采购人支付本合同总额4%的违约金。</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w:t>
      </w:r>
      <w:r>
        <w:rPr>
          <w:rFonts w:hint="eastAsia" w:ascii="宋体" w:hAnsi="宋体" w:cs="Times New Roman"/>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纠纷处理方式：</w:t>
      </w:r>
    </w:p>
    <w:p w14:paraId="4D75D70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双方协商解决。</w:t>
      </w:r>
    </w:p>
    <w:p w14:paraId="6F58478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若协商解决不成，则通过下列途径解决：向人民法院提起诉讼。具体如下：向采</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购方住所地人民法院提起。</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13</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13</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596"/>
        <w:gridCol w:w="1677"/>
        <w:gridCol w:w="1631"/>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服务项目</w:t>
            </w:r>
          </w:p>
        </w:tc>
        <w:tc>
          <w:tcPr>
            <w:tcW w:w="1596"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77"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单价</w:t>
            </w:r>
          </w:p>
        </w:tc>
        <w:tc>
          <w:tcPr>
            <w:tcW w:w="1631" w:type="dxa"/>
            <w:vAlign w:val="center"/>
          </w:tcPr>
          <w:p w14:paraId="268DAFF1">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总价</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p>
        </w:tc>
        <w:tc>
          <w:tcPr>
            <w:tcW w:w="1596"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p>
        </w:tc>
        <w:tc>
          <w:tcPr>
            <w:tcW w:w="1677" w:type="dxa"/>
            <w:shd w:val="clear" w:color="auto" w:fill="auto"/>
            <w:vAlign w:val="center"/>
          </w:tcPr>
          <w:p w14:paraId="1D4726F4">
            <w:pPr>
              <w:widowControl/>
              <w:spacing w:line="240" w:lineRule="auto"/>
              <w:jc w:val="left"/>
              <w:rPr>
                <w:rFonts w:ascii="宋体" w:hAnsi="宋体"/>
                <w:color w:val="auto"/>
                <w:sz w:val="24"/>
                <w:highlight w:val="none"/>
              </w:rPr>
            </w:pPr>
          </w:p>
        </w:tc>
        <w:tc>
          <w:tcPr>
            <w:tcW w:w="1631"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p>
        </w:tc>
        <w:tc>
          <w:tcPr>
            <w:tcW w:w="1596"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p>
        </w:tc>
        <w:tc>
          <w:tcPr>
            <w:tcW w:w="1677" w:type="dxa"/>
            <w:shd w:val="clear" w:color="auto" w:fill="auto"/>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674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60" w:type="dxa"/>
            <w:vMerge w:val="continue"/>
            <w:vAlign w:val="center"/>
          </w:tcPr>
          <w:p w14:paraId="2E438E31">
            <w:pPr>
              <w:widowControl/>
              <w:spacing w:line="240" w:lineRule="auto"/>
              <w:jc w:val="left"/>
            </w:pPr>
          </w:p>
        </w:tc>
        <w:tc>
          <w:tcPr>
            <w:tcW w:w="719" w:type="dxa"/>
            <w:vAlign w:val="center"/>
          </w:tcPr>
          <w:p w14:paraId="79853A8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12BAB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p>
        </w:tc>
        <w:tc>
          <w:tcPr>
            <w:tcW w:w="1596" w:type="dxa"/>
            <w:shd w:val="clear" w:color="auto" w:fill="auto"/>
            <w:vAlign w:val="center"/>
          </w:tcPr>
          <w:p w14:paraId="4F8E1A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b w:val="0"/>
                <w:bCs w:val="0"/>
                <w:kern w:val="2"/>
                <w:sz w:val="24"/>
                <w:szCs w:val="24"/>
                <w:lang w:val="en-US" w:eastAsia="zh-CN" w:bidi="ar-SA"/>
              </w:rPr>
            </w:pPr>
          </w:p>
        </w:tc>
        <w:tc>
          <w:tcPr>
            <w:tcW w:w="1677" w:type="dxa"/>
            <w:shd w:val="clear" w:color="auto" w:fill="auto"/>
            <w:vAlign w:val="center"/>
          </w:tcPr>
          <w:p w14:paraId="71956988">
            <w:pPr>
              <w:widowControl/>
              <w:spacing w:line="240" w:lineRule="auto"/>
              <w:jc w:val="left"/>
              <w:rPr>
                <w:rFonts w:hint="eastAsia" w:ascii="宋体" w:hAnsi="宋体" w:eastAsia="宋体"/>
                <w:color w:val="auto"/>
                <w:sz w:val="24"/>
                <w:highlight w:val="none"/>
                <w:lang w:val="en-US" w:eastAsia="zh-CN"/>
              </w:rPr>
            </w:pPr>
          </w:p>
        </w:tc>
        <w:tc>
          <w:tcPr>
            <w:tcW w:w="1631" w:type="dxa"/>
            <w:vAlign w:val="center"/>
          </w:tcPr>
          <w:p w14:paraId="6FABCFBD">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004" w:type="dxa"/>
            <w:gridSpan w:val="5"/>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631"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313145F1">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306A05C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BC2FB5"/>
    <w:rsid w:val="03511AD9"/>
    <w:rsid w:val="03ED3BD7"/>
    <w:rsid w:val="045E36B4"/>
    <w:rsid w:val="046E6DD0"/>
    <w:rsid w:val="047E5946"/>
    <w:rsid w:val="04C91366"/>
    <w:rsid w:val="05017C52"/>
    <w:rsid w:val="052E1A28"/>
    <w:rsid w:val="056025B0"/>
    <w:rsid w:val="05A14692"/>
    <w:rsid w:val="05B64224"/>
    <w:rsid w:val="061C715B"/>
    <w:rsid w:val="0696261C"/>
    <w:rsid w:val="069E7A64"/>
    <w:rsid w:val="06C453DB"/>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1790FDD"/>
    <w:rsid w:val="11AD4ADB"/>
    <w:rsid w:val="126445BB"/>
    <w:rsid w:val="142E65C5"/>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686EFF"/>
    <w:rsid w:val="1F87181B"/>
    <w:rsid w:val="1FB37FF3"/>
    <w:rsid w:val="21150CB8"/>
    <w:rsid w:val="213B2764"/>
    <w:rsid w:val="21657A51"/>
    <w:rsid w:val="22F17F9F"/>
    <w:rsid w:val="23B73EA6"/>
    <w:rsid w:val="23F4427C"/>
    <w:rsid w:val="25284930"/>
    <w:rsid w:val="25333A88"/>
    <w:rsid w:val="25776FB2"/>
    <w:rsid w:val="26B047DC"/>
    <w:rsid w:val="26BD4622"/>
    <w:rsid w:val="26C54B2C"/>
    <w:rsid w:val="27BC5F2F"/>
    <w:rsid w:val="27C42B43"/>
    <w:rsid w:val="28C13F2B"/>
    <w:rsid w:val="292A5ED6"/>
    <w:rsid w:val="2A604980"/>
    <w:rsid w:val="2A727AC6"/>
    <w:rsid w:val="2B5318E1"/>
    <w:rsid w:val="2BCE7FDF"/>
    <w:rsid w:val="2C226920"/>
    <w:rsid w:val="2CC80594"/>
    <w:rsid w:val="2D1F6544"/>
    <w:rsid w:val="2D484F7D"/>
    <w:rsid w:val="2D8017AD"/>
    <w:rsid w:val="2DDE2D69"/>
    <w:rsid w:val="2E1E7D97"/>
    <w:rsid w:val="2EBE2586"/>
    <w:rsid w:val="2ECC1930"/>
    <w:rsid w:val="2F4F4B8D"/>
    <w:rsid w:val="31144260"/>
    <w:rsid w:val="312D39F9"/>
    <w:rsid w:val="31A35457"/>
    <w:rsid w:val="31B67ACD"/>
    <w:rsid w:val="334D7ECB"/>
    <w:rsid w:val="336F02F9"/>
    <w:rsid w:val="33F45566"/>
    <w:rsid w:val="34160775"/>
    <w:rsid w:val="3444677B"/>
    <w:rsid w:val="34EF6DE8"/>
    <w:rsid w:val="3503072C"/>
    <w:rsid w:val="35592B5E"/>
    <w:rsid w:val="356F257B"/>
    <w:rsid w:val="35786F8C"/>
    <w:rsid w:val="3591710A"/>
    <w:rsid w:val="35E30AE8"/>
    <w:rsid w:val="36F5483C"/>
    <w:rsid w:val="389425B0"/>
    <w:rsid w:val="39137979"/>
    <w:rsid w:val="39524D90"/>
    <w:rsid w:val="3A9D764F"/>
    <w:rsid w:val="3BC31FF0"/>
    <w:rsid w:val="3C271A02"/>
    <w:rsid w:val="3C65673D"/>
    <w:rsid w:val="3CE851D3"/>
    <w:rsid w:val="3D035E9B"/>
    <w:rsid w:val="3D50551B"/>
    <w:rsid w:val="3D6C7658"/>
    <w:rsid w:val="3D8B3D3B"/>
    <w:rsid w:val="3DC2628F"/>
    <w:rsid w:val="3DD60AE2"/>
    <w:rsid w:val="3E5C0069"/>
    <w:rsid w:val="3E797AD2"/>
    <w:rsid w:val="3E7A2DAA"/>
    <w:rsid w:val="3E8B1175"/>
    <w:rsid w:val="3EB412B6"/>
    <w:rsid w:val="3F9E5AC2"/>
    <w:rsid w:val="3FAC28BB"/>
    <w:rsid w:val="3FB97B2C"/>
    <w:rsid w:val="40181D19"/>
    <w:rsid w:val="40884CA9"/>
    <w:rsid w:val="40BD676E"/>
    <w:rsid w:val="412549F9"/>
    <w:rsid w:val="417E75E8"/>
    <w:rsid w:val="41910115"/>
    <w:rsid w:val="41D908F9"/>
    <w:rsid w:val="438B3EDE"/>
    <w:rsid w:val="43FC72EE"/>
    <w:rsid w:val="44261222"/>
    <w:rsid w:val="4495014D"/>
    <w:rsid w:val="44AD0C2A"/>
    <w:rsid w:val="44F31851"/>
    <w:rsid w:val="45AA573E"/>
    <w:rsid w:val="45B275F5"/>
    <w:rsid w:val="46BC33FE"/>
    <w:rsid w:val="46EE7477"/>
    <w:rsid w:val="47B656EC"/>
    <w:rsid w:val="47BC0C07"/>
    <w:rsid w:val="47EB4726"/>
    <w:rsid w:val="486D6713"/>
    <w:rsid w:val="489259CA"/>
    <w:rsid w:val="498B3956"/>
    <w:rsid w:val="4A4E42C3"/>
    <w:rsid w:val="4BB0030E"/>
    <w:rsid w:val="4BC53306"/>
    <w:rsid w:val="4C15710C"/>
    <w:rsid w:val="4C2E5FB6"/>
    <w:rsid w:val="4C63431C"/>
    <w:rsid w:val="4C9444D5"/>
    <w:rsid w:val="4CB152D2"/>
    <w:rsid w:val="4CE2174D"/>
    <w:rsid w:val="4D505935"/>
    <w:rsid w:val="4D72372E"/>
    <w:rsid w:val="4E141911"/>
    <w:rsid w:val="4E370E84"/>
    <w:rsid w:val="4EBB778D"/>
    <w:rsid w:val="4F7C19ED"/>
    <w:rsid w:val="4FB142EA"/>
    <w:rsid w:val="506863A4"/>
    <w:rsid w:val="507D6E7C"/>
    <w:rsid w:val="508F27C5"/>
    <w:rsid w:val="50F55D99"/>
    <w:rsid w:val="513814F5"/>
    <w:rsid w:val="513B5867"/>
    <w:rsid w:val="51497716"/>
    <w:rsid w:val="51A30093"/>
    <w:rsid w:val="520457CB"/>
    <w:rsid w:val="522C2C59"/>
    <w:rsid w:val="539774E2"/>
    <w:rsid w:val="53C953AC"/>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577977"/>
    <w:rsid w:val="75645785"/>
    <w:rsid w:val="75681409"/>
    <w:rsid w:val="75716A92"/>
    <w:rsid w:val="758D2516"/>
    <w:rsid w:val="7599235F"/>
    <w:rsid w:val="75AE2AF5"/>
    <w:rsid w:val="75BD7F3E"/>
    <w:rsid w:val="7858402F"/>
    <w:rsid w:val="78D50787"/>
    <w:rsid w:val="78EE5436"/>
    <w:rsid w:val="79B17807"/>
    <w:rsid w:val="79FE2EB5"/>
    <w:rsid w:val="7AE26EA4"/>
    <w:rsid w:val="7B8F04A8"/>
    <w:rsid w:val="7C95557C"/>
    <w:rsid w:val="7D3A4490"/>
    <w:rsid w:val="7D3F0A9F"/>
    <w:rsid w:val="7DC41D70"/>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10763</Words>
  <Characters>11295</Characters>
  <Lines>186</Lines>
  <Paragraphs>52</Paragraphs>
  <TotalTime>0</TotalTime>
  <ScaleCrop>false</ScaleCrop>
  <LinksUpToDate>false</LinksUpToDate>
  <CharactersWithSpaces>11565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2025-12-08T08:42:37Z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