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JJZB-WJ-2025031</w:t>
      </w:r>
    </w:p>
    <w:p w14:paraId="31A6D576">
      <w:pPr>
        <w:pStyle w:val="9"/>
        <w:spacing w:line="640" w:lineRule="exact"/>
        <w:ind w:left="0" w:leftChars="0" w:firstLine="0" w:firstLineChars="0"/>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福州职业技术学院景区索道系统虚拟仿真实验平台</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lang w:eastAsia="zh-CN"/>
        </w:rPr>
        <w:t>研发项目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福州职业技术学院景区索道系统虚拟仿真实验平台</w:t>
      </w:r>
      <w:r>
        <w:rPr>
          <w:rFonts w:hint="eastAsia" w:ascii="宋体" w:hAnsi="宋体" w:cs="宋体"/>
          <w:b/>
          <w:bCs/>
          <w:color w:val="auto"/>
          <w:kern w:val="0"/>
          <w:sz w:val="24"/>
          <w:highlight w:val="none"/>
          <w:u w:val="single"/>
          <w:lang w:val="en-US" w:eastAsia="zh-CN"/>
        </w:rPr>
        <w:t>研发</w:t>
      </w:r>
      <w:r>
        <w:rPr>
          <w:rFonts w:hint="eastAsia" w:ascii="宋体" w:hAnsi="宋体" w:cs="宋体"/>
          <w:b/>
          <w:bCs/>
          <w:color w:val="auto"/>
          <w:kern w:val="0"/>
          <w:sz w:val="24"/>
          <w:highlight w:val="none"/>
          <w:u w:val="single"/>
          <w:lang w:eastAsia="zh-CN"/>
        </w:rPr>
        <w:t>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福州职业技术学院景区索道系统虚拟仿真实验平台研发项目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25</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 xml:space="preserve">陈老师 17705022461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60" w:lineRule="exact"/>
        <w:outlineLvl w:val="1"/>
        <w:rPr>
          <w:rFonts w:ascii="宋体" w:hAnsi="宋体" w:cs="宋体"/>
          <w:b/>
          <w:color w:val="auto"/>
          <w:sz w:val="24"/>
          <w:szCs w:val="24"/>
          <w:highlight w:val="none"/>
        </w:rPr>
      </w:pPr>
      <w:bookmarkStart w:id="1" w:name="_Toc358016816"/>
      <w:bookmarkStart w:id="2" w:name="_Toc359317661"/>
      <w:bookmarkStart w:id="3" w:name="_Toc330567034"/>
      <w:bookmarkStart w:id="4" w:name="_Toc327948617"/>
      <w:bookmarkStart w:id="5" w:name="_Toc346300367"/>
      <w:bookmarkStart w:id="6" w:name="_Toc347060296"/>
      <w:r>
        <w:rPr>
          <w:rFonts w:hint="eastAsia" w:ascii="宋体" w:hAnsi="宋体" w:cs="宋体"/>
          <w:b/>
          <w:color w:val="auto"/>
          <w:sz w:val="24"/>
          <w:szCs w:val="24"/>
          <w:highlight w:val="none"/>
        </w:rPr>
        <w:t>一、项目概述</w:t>
      </w:r>
      <w:bookmarkEnd w:id="1"/>
      <w:bookmarkEnd w:id="2"/>
    </w:p>
    <w:p w14:paraId="401C1468">
      <w:pPr>
        <w:pStyle w:val="33"/>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36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236"/>
        <w:gridCol w:w="927"/>
        <w:gridCol w:w="1787"/>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景区索道系统虚拟仿真实验平台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1套</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自签订合同之日起20日内交付完成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98500.00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：系统研发费、</w:t>
      </w:r>
      <w:r>
        <w:rPr>
          <w:rFonts w:hint="eastAsia" w:ascii="宋体" w:hAnsi="宋体" w:cs="宋体"/>
          <w:color w:val="auto"/>
          <w:kern w:val="0"/>
          <w:sz w:val="24"/>
          <w:szCs w:val="24"/>
          <w:highlight w:val="none"/>
          <w:lang w:val="en-US" w:eastAsia="zh-CN" w:bidi="ar-SA"/>
        </w:rPr>
        <w:t>安装调试费、培训</w:t>
      </w:r>
      <w:r>
        <w:rPr>
          <w:rFonts w:hint="eastAsia" w:ascii="宋体" w:hAnsi="宋体" w:eastAsia="宋体" w:cs="宋体"/>
          <w:color w:val="auto"/>
          <w:kern w:val="0"/>
          <w:sz w:val="24"/>
          <w:szCs w:val="24"/>
          <w:highlight w:val="none"/>
          <w:lang w:val="en-US" w:eastAsia="zh-CN" w:bidi="ar-SA"/>
        </w:rPr>
        <w:t>费、系统维护费、税费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6F2B5073">
      <w:pPr>
        <w:keepNext w:val="0"/>
        <w:keepLines w:val="0"/>
        <w:pageBreakBefore w:val="0"/>
        <w:kinsoku/>
        <w:wordWrap/>
        <w:overflowPunct/>
        <w:topLinePunct w:val="0"/>
        <w:autoSpaceDE/>
        <w:autoSpaceDN/>
        <w:bidi w:val="0"/>
        <w:adjustRightInd/>
        <w:spacing w:line="400" w:lineRule="exact"/>
        <w:ind w:firstLine="482" w:firstLineChars="200"/>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（一）重点功能描述</w:t>
      </w:r>
    </w:p>
    <w:p w14:paraId="31D173B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构建能够反馈景区索道系统结构安全、监察其运行状态的虚拟仿真实验平台，包括但不限于下列功能：</w:t>
      </w:r>
    </w:p>
    <w:p w14:paraId="05E8258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登陆界面；</w:t>
      </w:r>
    </w:p>
    <w:p w14:paraId="595BBD3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设计课前预习题库；</w:t>
      </w:r>
    </w:p>
    <w:p w14:paraId="2259B61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包含三个核心模块，感知层传感器部署与数据采集实验；网络层传输配置与数据预处理实验；平台层AI分析与应用层监控实验；</w:t>
      </w:r>
    </w:p>
    <w:p w14:paraId="12B7353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制作“多传感器数据融合实验模块”；</w:t>
      </w:r>
    </w:p>
    <w:p w14:paraId="7771152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在虚拟仿真软件中模拟“结构健康感知参数配置”功能；</w:t>
      </w:r>
    </w:p>
    <w:p w14:paraId="2CE8146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制作“网络传输模式配置实验”；</w:t>
      </w:r>
    </w:p>
    <w:p w14:paraId="05AE363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模拟“AI故障诊断流程”；</w:t>
      </w:r>
    </w:p>
    <w:p w14:paraId="06F3B62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具备模拟“应急联动调度实验”功能；</w:t>
      </w:r>
    </w:p>
    <w:p w14:paraId="375A63C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支持“结构健康数据对比分析实验”；</w:t>
      </w:r>
    </w:p>
    <w:p w14:paraId="17E919E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制作“运行状态监控联动实验模块”；</w:t>
      </w:r>
    </w:p>
    <w:p w14:paraId="2EAA850F">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具备模拟“环境监测”功能；</w:t>
      </w:r>
    </w:p>
    <w:p w14:paraId="576B25F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具备模拟至少20项“故障特征参数识别”功能，每项故障提出4-5项影响因素；</w:t>
      </w:r>
    </w:p>
    <w:p w14:paraId="6F5BE0D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具备“系统容错性测试实验”功能；</w:t>
      </w:r>
    </w:p>
    <w:p w14:paraId="75D0D9F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支持“多场景适应性实验”功能；</w:t>
      </w:r>
    </w:p>
    <w:p w14:paraId="3AED7EB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具备“设计性实验模块”功能；</w:t>
      </w:r>
    </w:p>
    <w:p w14:paraId="15D9E64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具备“低功耗供电系统仿真实验”功能；</w:t>
      </w:r>
    </w:p>
    <w:p w14:paraId="6094CCD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具备“传感器安装调试”模块；</w:t>
      </w:r>
    </w:p>
    <w:p w14:paraId="4EE6BBA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具备“数据安全防护实验”功能；</w:t>
      </w:r>
    </w:p>
    <w:p w14:paraId="5C33C3F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具备自动生成实验报告功能；</w:t>
      </w:r>
    </w:p>
    <w:p w14:paraId="77A41BF1">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虚拟仿真实验网页首页，页面应有相应模块区域和各自功能；</w:t>
      </w:r>
    </w:p>
    <w:p w14:paraId="5E0B61D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包含“课前预习模块”；</w:t>
      </w:r>
    </w:p>
    <w:p w14:paraId="59B51B0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22、</w:t>
      </w:r>
      <w:r>
        <w:rPr>
          <w:rFonts w:hint="eastAsia" w:ascii="宋体" w:hAnsi="宋体" w:eastAsia="宋体" w:cs="宋体"/>
          <w:b w:val="0"/>
          <w:bCs/>
          <w:color w:val="auto"/>
          <w:sz w:val="24"/>
          <w:szCs w:val="24"/>
          <w:highlight w:val="none"/>
        </w:rPr>
        <w:t>具备“实验过程回放功能”；</w:t>
      </w:r>
    </w:p>
    <w:p w14:paraId="50CCA42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具备“考核评价模块”；</w:t>
      </w:r>
    </w:p>
    <w:p w14:paraId="10CD4210">
      <w:pPr>
        <w:keepNext w:val="0"/>
        <w:keepLines w:val="0"/>
        <w:pageBreakBefore w:val="0"/>
        <w:kinsoku/>
        <w:wordWrap/>
        <w:overflowPunct/>
        <w:topLinePunct w:val="0"/>
        <w:autoSpaceDE/>
        <w:autoSpaceDN/>
        <w:bidi w:val="0"/>
        <w:adjustRightInd/>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各模块</w:t>
      </w:r>
      <w:r>
        <w:rPr>
          <w:rFonts w:hint="eastAsia" w:ascii="宋体" w:hAnsi="宋体" w:eastAsia="宋体" w:cs="宋体"/>
          <w:b w:val="0"/>
          <w:bCs/>
          <w:color w:val="auto"/>
          <w:sz w:val="24"/>
          <w:szCs w:val="24"/>
          <w:highlight w:val="none"/>
        </w:rPr>
        <w:t>详细功能及相应要求见</w:t>
      </w:r>
      <w:r>
        <w:rPr>
          <w:rFonts w:hint="eastAsia" w:ascii="宋体" w:hAnsi="宋体" w:cs="宋体"/>
          <w:b w:val="0"/>
          <w:bCs/>
          <w:color w:val="auto"/>
          <w:sz w:val="24"/>
          <w:szCs w:val="24"/>
          <w:highlight w:val="none"/>
          <w:lang w:val="en-US" w:eastAsia="zh-CN"/>
        </w:rPr>
        <w:t>技术参数要求。</w:t>
      </w:r>
    </w:p>
    <w:p w14:paraId="09ACBBEB">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二</w:t>
      </w:r>
      <w:r>
        <w:rPr>
          <w:rFonts w:hint="eastAsia" w:ascii="宋体" w:hAnsi="宋体" w:cs="宋体"/>
          <w:b/>
          <w:bCs/>
          <w:color w:val="auto"/>
          <w:kern w:val="0"/>
          <w:sz w:val="24"/>
          <w:szCs w:val="24"/>
          <w:highlight w:val="none"/>
          <w:lang w:eastAsia="zh-CN"/>
        </w:rPr>
        <w:t>）技术参数要求</w:t>
      </w:r>
    </w:p>
    <w:p w14:paraId="24A2AB5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制作</w:t>
      </w:r>
      <w:r>
        <w:rPr>
          <w:rFonts w:hint="eastAsia" w:ascii="宋体" w:hAnsi="宋体" w:eastAsia="宋体" w:cs="宋体"/>
          <w:b w:val="0"/>
          <w:bCs/>
          <w:color w:val="auto"/>
          <w:sz w:val="24"/>
          <w:szCs w:val="24"/>
          <w:highlight w:val="none"/>
          <w:lang w:eastAsia="zh-CN"/>
        </w:rPr>
        <w:t>景区索道系统虚拟仿真实验平台</w:t>
      </w:r>
      <w:r>
        <w:rPr>
          <w:rFonts w:hint="eastAsia" w:ascii="宋体" w:hAnsi="宋体" w:eastAsia="宋体" w:cs="宋体"/>
          <w:b w:val="0"/>
          <w:bCs/>
          <w:color w:val="auto"/>
          <w:sz w:val="24"/>
          <w:szCs w:val="24"/>
          <w:highlight w:val="none"/>
        </w:rPr>
        <w:t>的登录界面，支持师生账号登录及角色权限区分（管理员/教师/学生），包含账号密码验证、角色选择及“忘记密码”功能模块。</w:t>
      </w:r>
    </w:p>
    <w:p w14:paraId="43D8D85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设计</w:t>
      </w:r>
      <w:r>
        <w:rPr>
          <w:rFonts w:hint="eastAsia" w:ascii="宋体" w:hAnsi="宋体" w:eastAsia="宋体" w:cs="宋体"/>
          <w:b w:val="0"/>
          <w:bCs/>
          <w:color w:val="auto"/>
          <w:sz w:val="24"/>
          <w:szCs w:val="24"/>
          <w:highlight w:val="none"/>
          <w:lang w:val="en-US" w:eastAsia="zh-CN"/>
        </w:rPr>
        <w:t>不少于300</w:t>
      </w:r>
      <w:r>
        <w:rPr>
          <w:rFonts w:hint="eastAsia" w:ascii="宋体" w:hAnsi="宋体" w:eastAsia="宋体" w:cs="宋体"/>
          <w:b w:val="0"/>
          <w:bCs/>
          <w:color w:val="auto"/>
          <w:sz w:val="24"/>
          <w:szCs w:val="24"/>
          <w:highlight w:val="none"/>
        </w:rPr>
        <w:t>道课前预习小测验选择题</w:t>
      </w:r>
      <w:r>
        <w:rPr>
          <w:rFonts w:hint="eastAsia" w:ascii="宋体" w:hAnsi="宋体" w:eastAsia="宋体" w:cs="宋体"/>
          <w:b w:val="0"/>
          <w:bCs/>
          <w:color w:val="auto"/>
          <w:sz w:val="24"/>
          <w:szCs w:val="24"/>
          <w:highlight w:val="none"/>
          <w:lang w:val="en-US" w:eastAsia="zh-CN"/>
        </w:rPr>
        <w:t>题库</w:t>
      </w:r>
      <w:r>
        <w:rPr>
          <w:rFonts w:hint="eastAsia" w:ascii="宋体" w:hAnsi="宋体" w:eastAsia="宋体" w:cs="宋体"/>
          <w:b w:val="0"/>
          <w:bCs/>
          <w:color w:val="auto"/>
          <w:sz w:val="24"/>
          <w:szCs w:val="24"/>
          <w:highlight w:val="none"/>
        </w:rPr>
        <w:t>，内容涵盖索道监测传感器原理（如应变传感器精度±0.5%F.S.）、系统架构（感知层/网络层/平台层功能）、预警算法（如LSTM神经网络预测钢丝绳寿命）等，测验结果需自动同步至实验报告的“预习成绩”栏。</w:t>
      </w:r>
    </w:p>
    <w:p w14:paraId="197760C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虚拟仿真实验内容拆分为三个核心模块，按顺序分别为：</w:t>
      </w:r>
    </w:p>
    <w:p w14:paraId="5649C2C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模块1：感知层传感器部署与数据采集实验（传感器选型、安装位置模拟、数据校准与异常模拟）；</w:t>
      </w:r>
    </w:p>
    <w:p w14:paraId="2AF2E13A">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模块2：网络层传输配置与数据预处理实验（有线/无线传输模式切换、边缘节点滤波降噪）；</w:t>
      </w:r>
    </w:p>
    <w:p w14:paraId="3DF4494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模块3：平台层AI分析与应用层监控实验（故障诊断算法调优、实时监控界面操作、应急联动调度）；</w:t>
      </w:r>
    </w:p>
    <w:p w14:paraId="7D64CD2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每个模块关键步骤需添加可交互知识点（如应变传感器安装方向对张力测量精度的影响），并支持模块流程拖拽优化调整。</w:t>
      </w:r>
    </w:p>
    <w:p w14:paraId="17B07CB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制作“多传感器数据融合实验模块”，支持用户选择不同类型传感器（应变/加速度/3D激光扫描）数据，通过虚拟界面配置融合算法（卡尔曼滤波/加权平均），对比融合前后数据精度（综合误差＜2%）。</w:t>
      </w:r>
    </w:p>
    <w:p w14:paraId="44C2482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在虚拟仿真软件中模拟“结构健康感知参数配置”功能：点击“传感器管理”界面，选择振弦式应变传感器（量程0~200MPa，精度±0.5%F.S.）、压电式加速度传感器（采样率≥1kHz）、3D激光扫描仪（变形监测误差±0.5mm），设置采样频率（10Hz~1kHz可调），观察参数变化对数据采集的影响（如高频采样导致存储量激增）。</w:t>
      </w:r>
    </w:p>
    <w:p w14:paraId="53ED937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制作“网络传输模式配置实验”：点击“传输配置”按钮，选择有线传输（HYAC自承式电缆，端到端时延＜50ms）或无线传输（TD-LTE专网，覆盖半径≥5km），输入边缘节点IP地址，观察不同模式下的带宽（无线100Mbps/有线1Gbps）及数据丢包率。</w:t>
      </w:r>
    </w:p>
    <w:p w14:paraId="20B714D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模拟“AI故障诊断流程”：在平台层界面加载LSTM神经网络模型，输入钢丝绳实时张力（如150MPa）、累计运行时长（10000小时），点击“预测寿命”按钮，观察系统输出的剩余寿命预测值（误差＜5%）及置信度（≥95%），支持手动调整训练样本量（增加故障案例）观察预测精度变化。</w:t>
      </w:r>
    </w:p>
    <w:p w14:paraId="175A3B9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制作“应急联动调度实验”：设置极端天气场景（风速≥15m/s），触发预警后，虚拟平台自动生成应急方案（如“减速至50%额定速度”“启动防风缆”），用户需在“调度中心”界面选择执行优先级，操作结果计入实验评分（如响应时间是否＜10s）。</w:t>
      </w:r>
    </w:p>
    <w:p w14:paraId="0DDB5C5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支持“结构健康数据对比分析实验”：在平台层“数据分析”模块中，导入正常状态与损伤状态的钢丝绳振动频谱图（FFT变换结果），通过命令行输入生成对比图表，计算RMSD值（均方根偏差）分析特征频率差异（偏差＞5%触发预警）。</w:t>
      </w:r>
    </w:p>
    <w:p w14:paraId="75074CC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制作“运行状态监控联动实验模块”，模拟应用层实时监控界面（基于BIM模型导入的索道全景3D视图）：点击吊厢图标查看内部红外热成像图（异常发热区域标红），同步显示电机温度（PT100传感器，量程-50~200℃）与驱动轮转速（霍尔传感器监测），支持手动切换“全景/局部放大”视图。</w:t>
      </w:r>
    </w:p>
    <w:p w14:paraId="0900CC3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在虚拟仿真软件中点击“环境监测”按钮，打开风速风向仪（0~60m/s）与双目摄像头数据界面，观察实时风速（如8m/s）对客流量统计（准确率≥95%）的影响，点击“极端天气模拟”生成12级阵风数据，观察系统自动触发的停运指令。</w:t>
      </w:r>
    </w:p>
    <w:p w14:paraId="0807644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模拟</w:t>
      </w:r>
      <w:r>
        <w:rPr>
          <w:rFonts w:hint="eastAsia" w:ascii="宋体" w:hAnsi="宋体" w:eastAsia="宋体" w:cs="宋体"/>
          <w:b w:val="0"/>
          <w:bCs/>
          <w:color w:val="auto"/>
          <w:sz w:val="24"/>
          <w:szCs w:val="24"/>
          <w:highlight w:val="none"/>
          <w:lang w:val="en-US" w:eastAsia="zh-CN"/>
        </w:rPr>
        <w:t>至少20项</w:t>
      </w:r>
      <w:r>
        <w:rPr>
          <w:rFonts w:hint="eastAsia" w:ascii="宋体" w:hAnsi="宋体" w:eastAsia="宋体" w:cs="宋体"/>
          <w:b w:val="0"/>
          <w:bCs/>
          <w:color w:val="auto"/>
          <w:sz w:val="24"/>
          <w:szCs w:val="24"/>
          <w:highlight w:val="none"/>
        </w:rPr>
        <w:t>“故障特征参数识别”功能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每项故障提出4-5项影响因素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w:t>
      </w:r>
    </w:p>
    <w:p w14:paraId="4BDE946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上传齿轮箱异常声纹数据（参考云南鸡足山索道案例），系统通过CNN算法提取特征频率（如啮合频率偏差10%），标注故障类型（“齿轮磨损”）及严重程度（1~5级），用户需根据提示调整预警阈值（如将偏差阈值从5%降至3%）。</w:t>
      </w:r>
    </w:p>
    <w:p w14:paraId="248D0CD4">
      <w:pPr>
        <w:keepNext w:val="0"/>
        <w:keepLines w:val="0"/>
        <w:pageBreakBefore w:val="0"/>
        <w:kinsoku/>
        <w:wordWrap/>
        <w:overflowPunct/>
        <w:topLinePunct w:val="0"/>
        <w:autoSpaceDE/>
        <w:autoSpaceDN/>
        <w:bidi w:val="0"/>
        <w:adjustRightInd/>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抱索力不足</w:t>
      </w:r>
      <w:r>
        <w:rPr>
          <w:rFonts w:hint="eastAsia" w:ascii="宋体" w:hAnsi="宋体" w:eastAsia="宋体" w:cs="宋体"/>
          <w:b w:val="0"/>
          <w:bCs/>
          <w:color w:val="auto"/>
          <w:sz w:val="24"/>
          <w:szCs w:val="24"/>
          <w:highlight w:val="none"/>
          <w:lang w:eastAsia="zh-CN"/>
        </w:rPr>
        <w:t>：①</w:t>
      </w:r>
      <w:r>
        <w:rPr>
          <w:rFonts w:hint="eastAsia" w:ascii="宋体" w:hAnsi="宋体" w:eastAsia="宋体" w:cs="宋体"/>
          <w:b w:val="0"/>
          <w:bCs/>
          <w:color w:val="auto"/>
          <w:sz w:val="24"/>
          <w:szCs w:val="24"/>
          <w:highlight w:val="none"/>
          <w:lang w:val="en-US" w:eastAsia="zh-CN"/>
        </w:rPr>
        <w:t>设置</w:t>
      </w:r>
      <w:r>
        <w:rPr>
          <w:rFonts w:hint="default" w:ascii="宋体" w:hAnsi="宋体" w:eastAsia="宋体" w:cs="宋体"/>
          <w:b w:val="0"/>
          <w:bCs/>
          <w:color w:val="auto"/>
          <w:sz w:val="24"/>
          <w:szCs w:val="24"/>
          <w:highlight w:val="none"/>
          <w:lang w:val="en-US" w:eastAsia="zh-CN"/>
        </w:rPr>
        <w:t>预加压力值</w:t>
      </w:r>
      <w:r>
        <w:rPr>
          <w:rFonts w:hint="eastAsia" w:ascii="宋体" w:hAnsi="宋体" w:eastAsia="宋体" w:cs="宋体"/>
          <w:b w:val="0"/>
          <w:bCs/>
          <w:color w:val="auto"/>
          <w:sz w:val="24"/>
          <w:szCs w:val="24"/>
          <w:highlight w:val="none"/>
          <w:lang w:val="en-US" w:eastAsia="zh-CN"/>
        </w:rPr>
        <w:t>，并调节</w:t>
      </w:r>
      <w:r>
        <w:rPr>
          <w:rFonts w:hint="default" w:ascii="宋体" w:hAnsi="宋体" w:eastAsia="宋体" w:cs="宋体"/>
          <w:b w:val="0"/>
          <w:bCs/>
          <w:color w:val="auto"/>
          <w:sz w:val="24"/>
          <w:szCs w:val="24"/>
          <w:highlight w:val="none"/>
          <w:lang w:val="en-US" w:eastAsia="zh-CN"/>
        </w:rPr>
        <w:t>参数值缓慢降低，当低于设定值（例如200 daN）时触发故障报警。</w:t>
      </w:r>
      <w:r>
        <w:rPr>
          <w:rFonts w:hint="eastAsia" w:ascii="宋体" w:hAnsi="宋体" w:eastAsia="宋体" w:cs="宋体"/>
          <w:b w:val="0"/>
          <w:bCs/>
          <w:color w:val="auto"/>
          <w:sz w:val="24"/>
          <w:szCs w:val="24"/>
          <w:highlight w:val="none"/>
          <w:lang w:eastAsia="zh-CN"/>
        </w:rPr>
        <w:t>②</w:t>
      </w:r>
      <w:r>
        <w:rPr>
          <w:rFonts w:hint="eastAsia" w:ascii="宋体" w:hAnsi="宋体" w:eastAsia="宋体" w:cs="宋体"/>
          <w:b w:val="0"/>
          <w:bCs/>
          <w:color w:val="auto"/>
          <w:sz w:val="24"/>
          <w:szCs w:val="24"/>
          <w:highlight w:val="none"/>
          <w:lang w:val="en-US" w:eastAsia="zh-CN"/>
        </w:rPr>
        <w:t>预设</w:t>
      </w:r>
      <w:r>
        <w:rPr>
          <w:rFonts w:hint="default" w:ascii="宋体" w:hAnsi="宋体" w:eastAsia="宋体" w:cs="宋体"/>
          <w:b w:val="0"/>
          <w:bCs/>
          <w:color w:val="auto"/>
          <w:sz w:val="24"/>
          <w:szCs w:val="24"/>
          <w:highlight w:val="none"/>
          <w:lang w:val="en-US" w:eastAsia="zh-CN"/>
        </w:rPr>
        <w:t>压力传感器因腐蚀导致电压信号微小变化，经放大后在监控界面显示为较大的压力值波动</w:t>
      </w:r>
      <w:r>
        <w:rPr>
          <w:rFonts w:hint="eastAsia" w:ascii="宋体" w:hAnsi="宋体" w:eastAsia="宋体" w:cs="宋体"/>
          <w:b w:val="0"/>
          <w:bCs/>
          <w:color w:val="auto"/>
          <w:sz w:val="24"/>
          <w:szCs w:val="24"/>
          <w:highlight w:val="none"/>
          <w:lang w:val="en-US" w:eastAsia="zh-CN"/>
        </w:rPr>
        <w:t>。及其他2-3项考虑因素。</w:t>
      </w:r>
    </w:p>
    <w:p w14:paraId="534E10E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吊厢间距异常</w:t>
      </w:r>
      <w:r>
        <w:rPr>
          <w:rFonts w:hint="eastAsia" w:ascii="宋体" w:hAnsi="宋体" w:eastAsia="宋体" w:cs="宋体"/>
          <w:b w:val="0"/>
          <w:bCs/>
          <w:color w:val="auto"/>
          <w:sz w:val="24"/>
          <w:szCs w:val="24"/>
          <w:highlight w:val="none"/>
          <w:lang w:eastAsia="zh-CN"/>
        </w:rPr>
        <w:t>：系统设定吊厢间距有最小安全距离（例如128.5米）。当实测间距低于此值时，索道会自动保护性停机。正常间距：通常维持在某个设定值附近（例如约143.5米）。</w:t>
      </w:r>
      <w:r>
        <w:rPr>
          <w:rFonts w:hint="eastAsia" w:ascii="宋体" w:hAnsi="宋体" w:eastAsia="宋体" w:cs="宋体"/>
          <w:b w:val="0"/>
          <w:bCs/>
          <w:color w:val="auto"/>
          <w:sz w:val="24"/>
          <w:szCs w:val="24"/>
          <w:highlight w:val="none"/>
          <w:lang w:val="en-US" w:eastAsia="zh-CN"/>
        </w:rPr>
        <w:t>及其他1-3项考虑因素。</w:t>
      </w:r>
    </w:p>
    <w:p w14:paraId="063BA95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滚动轴承故障</w:t>
      </w:r>
      <w:r>
        <w:rPr>
          <w:rFonts w:hint="eastAsia" w:ascii="宋体" w:hAnsi="宋体" w:eastAsia="宋体" w:cs="宋体"/>
          <w:b w:val="0"/>
          <w:bCs/>
          <w:color w:val="auto"/>
          <w:sz w:val="24"/>
          <w:szCs w:val="24"/>
          <w:highlight w:val="none"/>
          <w:lang w:eastAsia="zh-CN"/>
        </w:rPr>
        <w:t>：①振动信号，时域统计参数（如RMS有效值、脉冲指标、裕度指标）出现异常。对于故障轴承，RMS值可能呈现“先平稳后下降”的趋势。②声发射信号，参数撞击数累加值（Hits sum）和RMS平均值（RMS mean）的变化趋势可用于区分轴承状态。故障轴承的RMS历程图会出现明显的峰值信号。</w:t>
      </w:r>
      <w:r>
        <w:rPr>
          <w:rFonts w:hint="eastAsia" w:ascii="宋体" w:hAnsi="宋体" w:eastAsia="宋体" w:cs="宋体"/>
          <w:b w:val="0"/>
          <w:bCs/>
          <w:color w:val="auto"/>
          <w:sz w:val="24"/>
          <w:szCs w:val="24"/>
          <w:highlight w:val="none"/>
          <w:lang w:val="en-US" w:eastAsia="zh-CN"/>
        </w:rPr>
        <w:t>及其他2-3项考虑因素。</w:t>
      </w:r>
    </w:p>
    <w:p w14:paraId="4C3BC66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站内驱动系统异常</w:t>
      </w:r>
      <w:r>
        <w:rPr>
          <w:rFonts w:hint="eastAsia" w:ascii="宋体" w:hAnsi="宋体" w:eastAsia="宋体" w:cs="宋体"/>
          <w:b w:val="0"/>
          <w:bCs/>
          <w:color w:val="auto"/>
          <w:sz w:val="24"/>
          <w:szCs w:val="24"/>
          <w:highlight w:val="none"/>
          <w:lang w:eastAsia="zh-CN"/>
        </w:rPr>
        <w:t>：①轮胎气压，站内增减速轮的气压需维持在规定范围（例如低速区3.5 Kg/cm²，高速区3.7-3.8 Kg/cm²）。②气压过低</w:t>
      </w:r>
      <w:r>
        <w:rPr>
          <w:rFonts w:hint="eastAsia" w:ascii="宋体" w:hAnsi="宋体" w:eastAsia="宋体" w:cs="宋体"/>
          <w:b w:val="0"/>
          <w:bCs/>
          <w:color w:val="auto"/>
          <w:sz w:val="24"/>
          <w:szCs w:val="24"/>
          <w:highlight w:val="none"/>
          <w:lang w:val="en-US" w:eastAsia="zh-CN"/>
        </w:rPr>
        <w:t>对</w:t>
      </w:r>
      <w:r>
        <w:rPr>
          <w:rFonts w:hint="eastAsia" w:ascii="宋体" w:hAnsi="宋体" w:eastAsia="宋体" w:cs="宋体"/>
          <w:b w:val="0"/>
          <w:bCs/>
          <w:color w:val="auto"/>
          <w:sz w:val="24"/>
          <w:szCs w:val="24"/>
          <w:highlight w:val="none"/>
          <w:lang w:eastAsia="zh-CN"/>
        </w:rPr>
        <w:t>摩擦力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eastAsia="zh-CN"/>
        </w:rPr>
        <w:t>影响，导致吊厢运行不同步，引发间距故障。</w:t>
      </w:r>
      <w:r>
        <w:rPr>
          <w:rFonts w:hint="eastAsia" w:ascii="宋体" w:hAnsi="宋体" w:eastAsia="宋体" w:cs="宋体"/>
          <w:b w:val="0"/>
          <w:bCs/>
          <w:color w:val="auto"/>
          <w:sz w:val="24"/>
          <w:szCs w:val="24"/>
          <w:highlight w:val="none"/>
          <w:lang w:val="en-US" w:eastAsia="zh-CN"/>
        </w:rPr>
        <w:t>及其他2-3项考虑因素。</w:t>
      </w:r>
    </w:p>
    <w:p w14:paraId="1319B4E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制作“系统容错性测试实验”：打开“故障注入”界面，选择“传感器离线”“传输链路中断”“AI算法失效”等8类故障场景，触发后观察系统自动切换备用方案（如应变传感器故障时启用加速度传感器推算张力），记录故障恢复时长（目标≤30s）。</w:t>
      </w:r>
    </w:p>
    <w:p w14:paraId="1D21C0F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支持“多场景适应性实验”：切换虚拟场景（高山索道/峡谷索道/景区观光索道），观察不同场景下的传感器配置差异（如峡谷索道需增加风向传感器密度）、预警阈值调整（高山索道风速≥12m/s减速）及应急资源调度（峡谷索道优先联动救援直升机）。</w:t>
      </w:r>
    </w:p>
    <w:p w14:paraId="3D4EA871">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制作“设计性实验模块”：用户自定义实验目标（如“将钢丝绳寿命预测误差降低至3%”），自主选择传感器组合（应变+3D扫描）、优化算法参数（LSTM网络层数/迭代次数）、调整训练数据集（增加腐蚀损伤样本），系统输出方案可行性报告（含预测精度、计算耗时、硬件成本）。</w:t>
      </w:r>
    </w:p>
    <w:p w14:paraId="1DA6C63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制作“低功耗供电系统仿真实验”：模拟支架传感器的太阳能+锂电池供电（续航≥6个月）、吊厢设备的动能发电模块（发电量≥5W），设置连续阴雨天气（72小时无光照），观察储能电池电压变化（维持在3.3V以上为合格）。</w:t>
      </w:r>
    </w:p>
    <w:p w14:paraId="0EFE706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在“传感器安装调试”模块中，提供步骤列表（如“清理安装面→涂抹耦合剂→固定传感器→连接信号线→校准零点”），用户需选择正确步骤并排序，完成后生成安装质量报告（含张力测量误差值、数据稳定性评分）。</w:t>
      </w:r>
    </w:p>
    <w:p w14:paraId="516A471A">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制作“数据安全防护实验”：模拟非法IP尝试登录监控平台，触发二级等保要求的防护机制（账号锁定、操作日志审计），用户需通过虚拟防火墙配置IP白名单、设置数据加密传输（AES-256算法）阻止攻击。</w:t>
      </w:r>
    </w:p>
    <w:p w14:paraId="7F75770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自动生成实验报告，内容包括：</w:t>
      </w:r>
    </w:p>
    <w:p w14:paraId="072590DE">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预习测验得分（10道题正确率）；</w:t>
      </w:r>
    </w:p>
    <w:p w14:paraId="591A90A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各模块操作步骤记录（如传感器校准误差值、AI预测准确率）；</w:t>
      </w:r>
    </w:p>
    <w:p w14:paraId="72FF780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实验数据图表（如故障预警前后索道故障率对比图、应急响应时间优化曲线）；</w:t>
      </w:r>
    </w:p>
    <w:p w14:paraId="1919DC3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设计性实验方案及系统评价（如“方案使钢丝绳寿命预测误差降至2.8%，达成目标”）；报告支持单独导出</w:t>
      </w:r>
      <w:r>
        <w:rPr>
          <w:rFonts w:hint="eastAsia" w:ascii="宋体" w:hAnsi="宋体" w:eastAsia="宋体" w:cs="宋体"/>
          <w:b w:val="0"/>
          <w:bCs/>
          <w:color w:val="auto"/>
          <w:sz w:val="24"/>
          <w:szCs w:val="24"/>
          <w:highlight w:val="none"/>
          <w:lang w:val="en-US" w:eastAsia="zh-CN"/>
        </w:rPr>
        <w:t>Word、</w:t>
      </w:r>
      <w:r>
        <w:rPr>
          <w:rFonts w:hint="eastAsia" w:ascii="宋体" w:hAnsi="宋体" w:eastAsia="宋体" w:cs="宋体"/>
          <w:b w:val="0"/>
          <w:bCs/>
          <w:color w:val="auto"/>
          <w:sz w:val="24"/>
          <w:szCs w:val="24"/>
          <w:highlight w:val="none"/>
        </w:rPr>
        <w:t>PDF格式，包含教师评语栏。</w:t>
      </w:r>
    </w:p>
    <w:p w14:paraId="1920316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制作虚拟仿真实验网页首页，包含系统介绍视频（3分钟演示“感知-传输-分析-应用”全流程）、实验流程导览图（传感器部署→数据传输→AI诊断→应急调度）、最新公告（如“ilab-x平台数据对接完成通知”）</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rPr>
        <w:t>，并设置“线上交流模块”（师生留言板、故障案例讨论区、</w:t>
      </w:r>
      <w:r>
        <w:rPr>
          <w:rFonts w:hint="eastAsia" w:ascii="宋体" w:hAnsi="宋体" w:eastAsia="宋体"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rPr>
        <w:t>GB/T 41094-2021</w:t>
      </w:r>
      <w:r>
        <w:rPr>
          <w:rFonts w:hint="eastAsia" w:ascii="宋体" w:hAnsi="宋体" w:eastAsia="宋体" w:cs="宋体"/>
          <w:b w:val="0"/>
          <w:bCs/>
          <w:color w:val="auto"/>
          <w:sz w:val="24"/>
          <w:szCs w:val="24"/>
          <w:highlight w:val="none"/>
          <w:lang w:eastAsia="zh-CN"/>
        </w:rPr>
        <w:t>、GB 26722-2024、GB 12352-2018、GB/T 34368-2017、GB/T 34024-2017</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rPr>
        <w:t>规范解读库）。</w:t>
      </w:r>
    </w:p>
    <w:p w14:paraId="68F87C5E">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制作“课前预习模块”，内含：</w:t>
      </w:r>
    </w:p>
    <w:p w14:paraId="7AD5CD6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技术资料：传感器手册（如振弦式应变传感器量程0~200MPa）、系统架构图（标注感知层-网络层-平台层数据流向）、AI算法原理文档（如LSTM神经网络参数说明）；</w:t>
      </w:r>
    </w:p>
    <w:p w14:paraId="00D5EDB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操作视频：虚拟平台</w:t>
      </w:r>
      <w:r>
        <w:rPr>
          <w:rFonts w:hint="eastAsia" w:ascii="宋体" w:hAnsi="宋体" w:eastAsia="宋体" w:cs="宋体"/>
          <w:b w:val="0"/>
          <w:bCs/>
          <w:color w:val="auto"/>
          <w:sz w:val="24"/>
          <w:szCs w:val="24"/>
          <w:highlight w:val="none"/>
          <w:lang w:val="en-US" w:eastAsia="zh-CN"/>
        </w:rPr>
        <w:t>详细</w:t>
      </w:r>
      <w:r>
        <w:rPr>
          <w:rFonts w:hint="eastAsia" w:ascii="宋体" w:hAnsi="宋体" w:eastAsia="宋体" w:cs="宋体"/>
          <w:b w:val="0"/>
          <w:bCs/>
          <w:color w:val="auto"/>
          <w:sz w:val="24"/>
          <w:szCs w:val="24"/>
          <w:highlight w:val="none"/>
        </w:rPr>
        <w:t>操作（如按Q键跳转至“3D激光扫描”步骤、按F键快捷校准传感器）；</w:t>
      </w:r>
    </w:p>
    <w:p w14:paraId="3BD9860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案例库：真实索道故障案例</w:t>
      </w:r>
      <w:r>
        <w:rPr>
          <w:rFonts w:hint="eastAsia" w:ascii="宋体" w:hAnsi="宋体" w:eastAsia="宋体" w:cs="宋体"/>
          <w:b w:val="0"/>
          <w:bCs/>
          <w:color w:val="auto"/>
          <w:sz w:val="24"/>
          <w:szCs w:val="24"/>
          <w:highlight w:val="none"/>
          <w:lang w:val="en-US" w:eastAsia="zh-CN"/>
        </w:rPr>
        <w:t>20个</w:t>
      </w:r>
      <w:r>
        <w:rPr>
          <w:rFonts w:hint="eastAsia" w:ascii="宋体" w:hAnsi="宋体" w:eastAsia="宋体" w:cs="宋体"/>
          <w:b w:val="0"/>
          <w:bCs/>
          <w:color w:val="auto"/>
          <w:sz w:val="24"/>
          <w:szCs w:val="24"/>
          <w:highlight w:val="none"/>
        </w:rPr>
        <w:t>（如某景区2025年钢丝绳异常磨损预警及处理全流程）。</w:t>
      </w:r>
    </w:p>
    <w:p w14:paraId="53A91FA0">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22、</w:t>
      </w:r>
      <w:r>
        <w:rPr>
          <w:rFonts w:hint="eastAsia" w:ascii="宋体" w:hAnsi="宋体" w:eastAsia="宋体" w:cs="宋体"/>
          <w:b w:val="0"/>
          <w:bCs/>
          <w:color w:val="auto"/>
          <w:sz w:val="24"/>
          <w:szCs w:val="24"/>
          <w:highlight w:val="none"/>
        </w:rPr>
        <w:t>支持“实验过程回放功能”：记录用户操作轨迹（如传感器参数调整历史、AI算法参数修改记录），可拖动时间轴回溯关键步骤（如“2025.09.26 14:30 触发齿轮箱预警”），便于教师点评操作规范性。</w:t>
      </w:r>
    </w:p>
    <w:p w14:paraId="61A0FC9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制作“考核评价模块”：自动统计实验完成度（步骤正确率、故障处理效率）、知识点掌握率（交互问答得分，如“应变传感器精度范围”答对率），生成综合评分（百分制）及改进建议（如“需加强网络传输时延优化练习”）。</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2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2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自签订合同之日起20日内交付完成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2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经采购人验收合格后，1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凭收讫验收凭证和验收合格文件等材料以转账方式向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rPr>
        <w:t>价款</w:t>
      </w:r>
      <w:r>
        <w:rPr>
          <w:rFonts w:hint="eastAsia" w:ascii="宋体" w:hAnsi="宋体" w:eastAsia="宋体" w:cs="宋体"/>
          <w:b w:val="0"/>
          <w:bCs w:val="0"/>
          <w:color w:val="auto"/>
          <w:kern w:val="0"/>
          <w:sz w:val="24"/>
          <w:szCs w:val="24"/>
          <w:highlight w:val="none"/>
          <w:lang w:val="en-US" w:eastAsia="zh-CN" w:bidi="ar-SA"/>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3BFA18B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8、包装和运输：</w:t>
      </w:r>
    </w:p>
    <w:p w14:paraId="0B446E60">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8.1以实体U盘或硬盘载体并配合网盘等方式交付本次产品</w:t>
      </w:r>
      <w:r>
        <w:rPr>
          <w:rFonts w:hint="eastAsia" w:ascii="宋体" w:hAnsi="宋体" w:eastAsia="宋体" w:cs="宋体"/>
          <w:b w:val="0"/>
          <w:bCs w:val="0"/>
          <w:color w:val="auto"/>
          <w:sz w:val="24"/>
          <w:szCs w:val="24"/>
          <w:highlight w:val="none"/>
        </w:rPr>
        <w:t>，包装方式的确定及包装费用均由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负责；由于不适当的包装而造成货物在运输过程中有任何损坏、丢失由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负责。</w:t>
      </w:r>
    </w:p>
    <w:p w14:paraId="65A171B0">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8.2</w:t>
      </w:r>
      <w:r>
        <w:rPr>
          <w:rFonts w:hint="eastAsia" w:ascii="宋体" w:hAnsi="宋体" w:eastAsia="宋体" w:cs="宋体"/>
          <w:b w:val="0"/>
          <w:bCs w:val="0"/>
          <w:color w:val="auto"/>
          <w:sz w:val="24"/>
          <w:szCs w:val="24"/>
          <w:highlight w:val="none"/>
        </w:rPr>
        <w:t>符合运输要求，保证货物到达目的地时完好，无毁损，包装不回收。在运输过程中造成的产品损失或损坏由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负担。</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2EA83260">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网上竞价文件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的响应文件和本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约定的服务内容及质量要求按次组织对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所提供服务进行验收，并根据验收结果支付服务费用。具体如下：</w:t>
      </w:r>
    </w:p>
    <w:p w14:paraId="326D6990">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约定的服务内容、服务要求和服务效果进行验收。</w:t>
      </w:r>
    </w:p>
    <w:p w14:paraId="75D62691">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9.2采购人</w:t>
      </w:r>
      <w:r>
        <w:rPr>
          <w:rFonts w:hint="eastAsia" w:ascii="宋体" w:hAnsi="宋体"/>
          <w:color w:val="000000" w:themeColor="text1"/>
          <w:sz w:val="24"/>
          <w:lang w:eastAsia="zh-CN"/>
          <w14:textFill>
            <w14:solidFill>
              <w14:schemeClr w14:val="tx1"/>
            </w14:solidFill>
          </w14:textFill>
        </w:rPr>
        <w:t>在收到</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的验收申请后</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和</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共同进行验收。</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将按照采购</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规定的技术参数标准和服务要求组织对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履约情况进行验收。验收结果经双方确认后，双方代表必须按规定的验收单上的项目填好验收结果并签名盖章。</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2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本项目免费保修期为1年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w:t>
      </w:r>
      <w:r>
        <w:rPr>
          <w:rFonts w:hint="eastAsia" w:ascii="宋体" w:hAnsi="宋体"/>
          <w:color w:val="000000" w:themeColor="text1"/>
          <w:sz w:val="24"/>
          <w14:textFill>
            <w14:solidFill>
              <w14:schemeClr w14:val="tx1"/>
            </w14:solidFill>
          </w14:textFill>
        </w:rPr>
        <w:t>验收合格之日起算）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供应商在质保期内接到故障通知后24小时内响应，并在24小时内到达现场，免费负责修理</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调试系统平台</w:t>
      </w:r>
      <w:r>
        <w:rPr>
          <w:rFonts w:hint="eastAsia" w:ascii="宋体" w:hAnsi="宋体"/>
          <w:color w:val="000000" w:themeColor="text1"/>
          <w:sz w:val="24"/>
          <w14:textFill>
            <w14:solidFill>
              <w14:schemeClr w14:val="tx1"/>
            </w14:solidFill>
          </w14:textFill>
        </w:rPr>
        <w:t>。质保期外重复出现质保期内出现的故障属免费保修范围。</w:t>
      </w:r>
    </w:p>
    <w:p w14:paraId="705BBC6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11、检验与测试：</w:t>
      </w:r>
    </w:p>
    <w:p w14:paraId="7B2B9FB5">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虚拟仿真软件检验与测试结果应满足如下要求：</w:t>
      </w:r>
    </w:p>
    <w:p w14:paraId="03F7EBFE">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11.1‌功能性验收条款‌</w:t>
      </w:r>
    </w:p>
    <w:p w14:paraId="69272E40">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软件需实现网上竞价文件和响应文件约定的全部核心功能，包括但不限于：</w:t>
      </w:r>
    </w:p>
    <w:p w14:paraId="0662C175">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模拟场景的完整性（如物理引擎、交互逻辑、数据反馈）；</w:t>
      </w:r>
    </w:p>
    <w:p w14:paraId="43E03646">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用户界面与操作流程的易用性（符合ISO 9241-210人机交互标准）；</w:t>
      </w:r>
    </w:p>
    <w:p w14:paraId="511F59C7">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多平台兼容性（Windows/Linux系统、主流浏览器）；</w:t>
      </w:r>
    </w:p>
    <w:p w14:paraId="1E53769E">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数据接口的准确性（与外部系统对接的数据传输误差率≤0.1%）；</w:t>
      </w:r>
    </w:p>
    <w:p w14:paraId="46E4D94F">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11.2‌性能与可靠性验收条款‌</w:t>
      </w:r>
    </w:p>
    <w:p w14:paraId="21E72938">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‌并发能力‌：支持≥300用户同时在线操作，响应时间≤2秒（复杂场景≤5秒）；</w:t>
      </w:r>
    </w:p>
    <w:p w14:paraId="13666E14">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‌稳定性‌：连续运行72小时无崩溃或内存泄漏；</w:t>
      </w:r>
    </w:p>
    <w:p w14:paraId="5DA433C4">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‌数据安全‌：符合等保2.0三级要求，加密传输与存储；</w:t>
      </w:r>
    </w:p>
    <w:p w14:paraId="1E3921BB">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11.3‌质量与合规性验收条款‌</w:t>
      </w:r>
    </w:p>
    <w:p w14:paraId="53C49CB0">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代码符合《GB/T 25000.51-2016》软件质量模型；</w:t>
      </w:r>
    </w:p>
    <w:p w14:paraId="6F838F61">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知识产权归属明确（源代码、模型版权归采购人所有）；</w:t>
      </w:r>
    </w:p>
    <w:p w14:paraId="7701422D">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11.4‌验收流程与责任条款‌</w:t>
      </w:r>
    </w:p>
    <w:p w14:paraId="241EBC01">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成交供应商提交验收申请后，采购人需在3个工作日内组织验收；</w:t>
      </w:r>
    </w:p>
    <w:p w14:paraId="0AE3F43D">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验收费用由合同约定方承担（供应商问题导致复验的，费用由供应商承担）；</w:t>
      </w:r>
    </w:p>
    <w:p w14:paraId="6CEB543C">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未通过验收的，供应商需在7个工作日内完成整改并重新验收。</w:t>
      </w:r>
    </w:p>
    <w:p w14:paraId="6952F205">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‌验收方法‌：审查测试报告及知识产权文件，比对合同约定条款。</w:t>
      </w:r>
    </w:p>
    <w:p w14:paraId="20336CD7">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11.5‌文档与培训验收条款‌</w:t>
      </w:r>
    </w:p>
    <w:p w14:paraId="7174D02E">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交付完整技术文档（安装手册、API接口文档、维护指南）；</w:t>
      </w:r>
    </w:p>
    <w:p w14:paraId="109E2013">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提供≥8学时的现场操作培训，通过率≥95%。</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12、</w:t>
      </w:r>
      <w:r>
        <w:rPr>
          <w:rFonts w:hint="eastAsia" w:ascii="宋体" w:hAnsi="宋体" w:eastAsia="宋体" w:cs="宋体"/>
          <w:b/>
          <w:bCs/>
          <w:kern w:val="2"/>
          <w:sz w:val="24"/>
          <w:szCs w:val="24"/>
          <w:lang w:val="en-US" w:eastAsia="zh-CN" w:bidi="ar-SA"/>
        </w:rPr>
        <w:t>知识产权：</w:t>
      </w:r>
    </w:p>
    <w:p w14:paraId="3E33277F">
      <w:pPr>
        <w:keepNext w:val="0"/>
        <w:keepLines w:val="0"/>
        <w:pageBreakBefore w:val="0"/>
        <w:widowControl w:val="0"/>
        <w:tabs>
          <w:tab w:val="left" w:pos="0"/>
        </w:tabs>
        <w:kinsoku/>
        <w:wordWrap/>
        <w:overflowPunct/>
        <w:topLinePunct w:val="0"/>
        <w:autoSpaceDE/>
        <w:autoSpaceDN/>
        <w:bidi w:val="0"/>
        <w:adjustRightInd w:val="0"/>
        <w:snapToGrid/>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须保障采购人在使用该</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或其任何一部分时不受到第三方关于侵犯专利权、商标权或工业设计权等知识产权的指控。如果任何第三方提出侵权指控与采购人无关，</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须与第三方交涉并承担可能发生的责任与一切费用；如采购人因此而遭致损失的，</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应赔偿该损失。</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为执行本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而提供的技术资料、软件，采购人有权进行使用，</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不得主张任何费用。</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13、产权与风险转移：</w:t>
      </w:r>
    </w:p>
    <w:p w14:paraId="5EBD223D">
      <w:pPr>
        <w:keepNext w:val="0"/>
        <w:keepLines w:val="0"/>
        <w:pageBreakBefore w:val="0"/>
        <w:widowControl w:val="0"/>
        <w:tabs>
          <w:tab w:val="left" w:pos="0"/>
        </w:tabs>
        <w:kinsoku/>
        <w:wordWrap/>
        <w:overflowPunct/>
        <w:topLinePunct w:val="0"/>
        <w:autoSpaceDE/>
        <w:autoSpaceDN/>
        <w:bidi w:val="0"/>
        <w:adjustRightInd w:val="0"/>
        <w:snapToGrid/>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的产权与风险转移遵守如下约定：</w:t>
      </w:r>
    </w:p>
    <w:p w14:paraId="79480370">
      <w:pPr>
        <w:keepNext w:val="0"/>
        <w:keepLines w:val="0"/>
        <w:pageBreakBefore w:val="0"/>
        <w:widowControl w:val="0"/>
        <w:tabs>
          <w:tab w:val="left" w:pos="0"/>
        </w:tabs>
        <w:kinsoku/>
        <w:wordWrap/>
        <w:overflowPunct/>
        <w:topLinePunct w:val="0"/>
        <w:autoSpaceDE/>
        <w:autoSpaceDN/>
        <w:bidi w:val="0"/>
        <w:adjustRightInd w:val="0"/>
        <w:snapToGrid/>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13.1系统</w:t>
      </w:r>
      <w:r>
        <w:rPr>
          <w:rFonts w:hint="eastAsia" w:ascii="宋体" w:hAnsi="宋体"/>
          <w:color w:val="000000" w:themeColor="text1"/>
          <w:sz w:val="24"/>
          <w14:textFill>
            <w14:solidFill>
              <w14:schemeClr w14:val="tx1"/>
            </w14:solidFill>
          </w14:textFill>
        </w:rPr>
        <w:t>的产权以及损坏、灭失的风险在</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通过验收并交付使用前归属于</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通过验收并交付使用时起由</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转移至采购人。</w:t>
      </w:r>
    </w:p>
    <w:p w14:paraId="607E986D">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w:t>
      </w:r>
      <w:r>
        <w:rPr>
          <w:rFonts w:hint="eastAsia" w:ascii="宋体" w:hAnsi="宋体"/>
          <w:color w:val="000000" w:themeColor="text1"/>
          <w:sz w:val="24"/>
          <w14:textFill>
            <w14:solidFill>
              <w14:schemeClr w14:val="tx1"/>
            </w14:solidFill>
          </w14:textFill>
        </w:rPr>
        <w:t>产权和风险的转移，不影响因</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履行义务不符合约定，采购人要求其承担违约责任的权利。</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14、保密：</w:t>
      </w:r>
    </w:p>
    <w:p w14:paraId="1EA66015">
      <w:pPr>
        <w:keepNext w:val="0"/>
        <w:keepLines w:val="0"/>
        <w:pageBreakBefore w:val="0"/>
        <w:widowControl w:val="0"/>
        <w:tabs>
          <w:tab w:val="left" w:pos="0"/>
        </w:tabs>
        <w:kinsoku/>
        <w:wordWrap/>
        <w:overflowPunct/>
        <w:topLinePunct w:val="0"/>
        <w:autoSpaceDE/>
        <w:autoSpaceDN/>
        <w:bidi w:val="0"/>
        <w:adjustRightInd w:val="0"/>
        <w:snapToGrid/>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未经采购人事先书面同意，</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不得将由采购人为本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提供的条文、规格、计划、资料提供给与本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无关的任何第三方，不得将其用于履行本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之外的其它用途。即使向与履行本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有关的人员提供，也应注意保密并限于履行</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所必需的范围。</w:t>
      </w:r>
    </w:p>
    <w:p w14:paraId="2A8A9749">
      <w:pPr>
        <w:keepNext w:val="0"/>
        <w:keepLines w:val="0"/>
        <w:pageBreakBefore w:val="0"/>
        <w:widowControl w:val="0"/>
        <w:tabs>
          <w:tab w:val="left" w:pos="0"/>
        </w:tabs>
        <w:kinsoku/>
        <w:wordWrap/>
        <w:overflowPunct/>
        <w:topLinePunct w:val="0"/>
        <w:autoSpaceDE/>
        <w:autoSpaceDN/>
        <w:bidi w:val="0"/>
        <w:adjustRightInd w:val="0"/>
        <w:snapToGrid/>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14.2</w:t>
      </w:r>
      <w:r>
        <w:rPr>
          <w:rFonts w:hint="eastAsia" w:ascii="宋体" w:hAnsi="宋体"/>
          <w:color w:val="000000" w:themeColor="text1"/>
          <w:sz w:val="24"/>
          <w14:textFill>
            <w14:solidFill>
              <w14:schemeClr w14:val="tx1"/>
            </w14:solidFill>
          </w14:textFill>
        </w:rPr>
        <w:t>除了</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本身之外，上款所列举的任何物件均是采购人的财产。如果采购人有要求，</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在收到采购人的要求后10日内应将这些物件及全部复制件还给采购人，不得留存任何备份。</w:t>
      </w:r>
    </w:p>
    <w:p w14:paraId="7E77D29F">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14.3</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违反本保密条款的，应支付</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总金额</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%的违约金，并赔偿由此给采购人造成的任何损失。本条款在本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15、违约责任：</w:t>
      </w:r>
    </w:p>
    <w:p w14:paraId="6A2B0D53">
      <w:pPr>
        <w:keepNext w:val="0"/>
        <w:keepLines w:val="0"/>
        <w:pageBreakBefore w:val="0"/>
        <w:widowControl w:val="0"/>
        <w:tabs>
          <w:tab w:val="left" w:pos="900"/>
          <w:tab w:val="left" w:pos="1100"/>
        </w:tabs>
        <w:kinsoku/>
        <w:wordWrap/>
        <w:overflowPunct/>
        <w:topLinePunct w:val="0"/>
        <w:autoSpaceDE/>
        <w:autoSpaceDN/>
        <w:bidi w:val="0"/>
        <w:snapToGrid/>
        <w:spacing w:line="42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除不可抗力因素外，如果</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不能按照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规定的时间交付和提供服务，应及时以书面形式将逾期的事实、可能逾期的时间和原因通知采购人。采购人收到</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通知后，将尽快作出评价，决定是否同意延长交货期及收取逾期赔偿费，逾期赔偿费的金额为采购人所遭受的所有损失。采购人在不影响</w:t>
      </w:r>
      <w:r>
        <w:rPr>
          <w:rFonts w:hint="eastAsia" w:ascii="宋体" w:hAnsi="宋体"/>
          <w:color w:val="000000" w:themeColor="text1"/>
          <w:sz w:val="24"/>
          <w:lang w:val="en-US" w:eastAsia="zh-CN"/>
          <w14:textFill>
            <w14:solidFill>
              <w14:schemeClr w14:val="tx1"/>
            </w14:solidFill>
          </w14:textFill>
        </w:rPr>
        <w:t>项目要求</w:t>
      </w:r>
      <w:r>
        <w:rPr>
          <w:rFonts w:hint="eastAsia" w:ascii="宋体" w:hAnsi="宋体"/>
          <w:color w:val="000000" w:themeColor="text1"/>
          <w:sz w:val="24"/>
          <w14:textFill>
            <w14:solidFill>
              <w14:schemeClr w14:val="tx1"/>
            </w14:solidFill>
          </w14:textFill>
        </w:rPr>
        <w:t>的其它补救措施情况下，可从</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 xml:space="preserve">未付款中扣除逾期违约金，违约金按未交付货物价款的 </w:t>
      </w:r>
      <w:r>
        <w:rPr>
          <w:rFonts w:hint="eastAsia" w:ascii="宋体" w:hAnsi="宋体"/>
          <w:color w:val="000000" w:themeColor="text1"/>
          <w:sz w:val="24"/>
          <w:u w:val="single"/>
          <w14:textFill>
            <w14:solidFill>
              <w14:schemeClr w14:val="tx1"/>
            </w14:solidFill>
          </w14:textFill>
        </w:rPr>
        <w:t>2％/</w:t>
      </w:r>
      <w:r>
        <w:rPr>
          <w:rFonts w:hint="eastAsia" w:ascii="宋体" w:hAnsi="宋体"/>
          <w:color w:val="000000" w:themeColor="text1"/>
          <w:sz w:val="24"/>
          <w:u w:val="single"/>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计算，逾期期限一旦达到</w:t>
      </w:r>
      <w:r>
        <w:rPr>
          <w:rFonts w:hint="eastAsia" w:ascii="宋体" w:hAnsi="宋体"/>
          <w:color w:val="000000" w:themeColor="text1"/>
          <w:sz w:val="24"/>
          <w:u w:val="single"/>
          <w14:textFill>
            <w14:solidFill>
              <w14:schemeClr w14:val="tx1"/>
            </w14:solidFill>
          </w14:textFill>
        </w:rPr>
        <w:t xml:space="preserve"> 30</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，采购人有权</w:t>
      </w:r>
      <w:r>
        <w:rPr>
          <w:rFonts w:hint="eastAsia" w:ascii="宋体" w:hAnsi="宋体"/>
          <w:color w:val="000000" w:themeColor="text1"/>
          <w:sz w:val="24"/>
          <w:lang w:val="en-US" w:eastAsia="zh-CN"/>
          <w14:textFill>
            <w14:solidFill>
              <w14:schemeClr w14:val="tx1"/>
            </w14:solidFill>
          </w14:textFill>
        </w:rPr>
        <w:t>作废项目</w:t>
      </w:r>
      <w:r>
        <w:rPr>
          <w:rFonts w:hint="eastAsia" w:ascii="宋体" w:hAnsi="宋体"/>
          <w:color w:val="000000" w:themeColor="text1"/>
          <w:sz w:val="24"/>
          <w14:textFill>
            <w14:solidFill>
              <w14:schemeClr w14:val="tx1"/>
            </w14:solidFill>
          </w14:textFill>
        </w:rPr>
        <w:t>，且</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仍应按约定支付违约金。违约金的支付不影响采购人向</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2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b/>
          <w:bCs/>
          <w:color w:val="000000" w:themeColor="text1"/>
          <w:sz w:val="24"/>
          <w:lang w:val="en-US" w:eastAsia="zh-CN"/>
          <w14:textFill>
            <w14:solidFill>
              <w14:schemeClr w14:val="tx1"/>
            </w14:solidFill>
          </w14:textFill>
        </w:rPr>
        <w:t>纠纷处理方式：</w:t>
      </w:r>
    </w:p>
    <w:p w14:paraId="4D75D70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16.1</w:t>
      </w:r>
      <w:r>
        <w:rPr>
          <w:rFonts w:hint="default" w:ascii="宋体" w:hAnsi="宋体" w:eastAsia="宋体" w:cs="宋体"/>
          <w:b w:val="0"/>
          <w:bCs w:val="0"/>
          <w:sz w:val="24"/>
          <w:szCs w:val="24"/>
          <w:lang w:val="en-US" w:eastAsia="zh-CN"/>
        </w:rPr>
        <w:t>双方协商解决。</w:t>
      </w:r>
    </w:p>
    <w:p w14:paraId="6F58478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16.2</w:t>
      </w:r>
      <w:r>
        <w:rPr>
          <w:rFonts w:hint="default" w:ascii="宋体" w:hAnsi="宋体" w:eastAsia="宋体" w:cs="宋体"/>
          <w:b w:val="0"/>
          <w:bCs w:val="0"/>
          <w:sz w:val="24"/>
          <w:szCs w:val="24"/>
          <w:lang w:val="en-US" w:eastAsia="zh-CN"/>
        </w:rPr>
        <w:t>若协商解决不成，则通过下列途径解决：向人民法院提起诉讼。具体如下：向采</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购方住所地人民法院提起。</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eastAsia="宋体"/>
          <w:szCs w:val="24"/>
          <w:lang w:eastAsia="zh-CN"/>
        </w:rPr>
      </w:pPr>
      <w:r>
        <w:rPr>
          <w:rFonts w:hint="eastAsia" w:cs="宋体"/>
          <w:b/>
          <w:bCs/>
          <w:szCs w:val="24"/>
          <w:lang w:val="en-US" w:eastAsia="zh-CN"/>
        </w:rPr>
        <w:t>17</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7</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BC2FB5"/>
    <w:rsid w:val="03511AD9"/>
    <w:rsid w:val="03ED3BD7"/>
    <w:rsid w:val="046E6DD0"/>
    <w:rsid w:val="047E5946"/>
    <w:rsid w:val="04C91366"/>
    <w:rsid w:val="05017C52"/>
    <w:rsid w:val="056025B0"/>
    <w:rsid w:val="05B64224"/>
    <w:rsid w:val="061C715B"/>
    <w:rsid w:val="0696261C"/>
    <w:rsid w:val="06C453DB"/>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1790FDD"/>
    <w:rsid w:val="11AD4ADB"/>
    <w:rsid w:val="126445BB"/>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686EFF"/>
    <w:rsid w:val="1F87181B"/>
    <w:rsid w:val="1FB37FF3"/>
    <w:rsid w:val="21150CB8"/>
    <w:rsid w:val="213B2764"/>
    <w:rsid w:val="21657A51"/>
    <w:rsid w:val="22F17F9F"/>
    <w:rsid w:val="23B73EA6"/>
    <w:rsid w:val="23F4427C"/>
    <w:rsid w:val="25333A88"/>
    <w:rsid w:val="25776FB2"/>
    <w:rsid w:val="26B047DC"/>
    <w:rsid w:val="26BD4622"/>
    <w:rsid w:val="26C54B2C"/>
    <w:rsid w:val="27BC5F2F"/>
    <w:rsid w:val="27C42B43"/>
    <w:rsid w:val="28C13F2B"/>
    <w:rsid w:val="292A5ED6"/>
    <w:rsid w:val="2A604980"/>
    <w:rsid w:val="2A727AC6"/>
    <w:rsid w:val="2B5318E1"/>
    <w:rsid w:val="2BCE7FDF"/>
    <w:rsid w:val="2CC80594"/>
    <w:rsid w:val="2D484F7D"/>
    <w:rsid w:val="2D8017AD"/>
    <w:rsid w:val="2DDE2D69"/>
    <w:rsid w:val="2E1E7D97"/>
    <w:rsid w:val="2EBE2586"/>
    <w:rsid w:val="2ECC1930"/>
    <w:rsid w:val="2F4F4B8D"/>
    <w:rsid w:val="31144260"/>
    <w:rsid w:val="312D39F9"/>
    <w:rsid w:val="31A35457"/>
    <w:rsid w:val="31B67ACD"/>
    <w:rsid w:val="334D7ECB"/>
    <w:rsid w:val="336F02F9"/>
    <w:rsid w:val="33F45566"/>
    <w:rsid w:val="34160775"/>
    <w:rsid w:val="3444677B"/>
    <w:rsid w:val="34EF6DE8"/>
    <w:rsid w:val="3503072C"/>
    <w:rsid w:val="356F257B"/>
    <w:rsid w:val="35786F8C"/>
    <w:rsid w:val="3591710A"/>
    <w:rsid w:val="35E30AE8"/>
    <w:rsid w:val="36F5483C"/>
    <w:rsid w:val="389425B0"/>
    <w:rsid w:val="39137979"/>
    <w:rsid w:val="39524D90"/>
    <w:rsid w:val="3A9D764F"/>
    <w:rsid w:val="3BC31FF0"/>
    <w:rsid w:val="3C271A02"/>
    <w:rsid w:val="3C65673D"/>
    <w:rsid w:val="3CE851D3"/>
    <w:rsid w:val="3D035E9B"/>
    <w:rsid w:val="3D50551B"/>
    <w:rsid w:val="3D6C7658"/>
    <w:rsid w:val="3DC2628F"/>
    <w:rsid w:val="3DD60AE2"/>
    <w:rsid w:val="3E5C0069"/>
    <w:rsid w:val="3E797AD2"/>
    <w:rsid w:val="3E7A2DAA"/>
    <w:rsid w:val="3E8B1175"/>
    <w:rsid w:val="3EB412B6"/>
    <w:rsid w:val="3F9E5AC2"/>
    <w:rsid w:val="3FAC28BB"/>
    <w:rsid w:val="3FB97B2C"/>
    <w:rsid w:val="40181D19"/>
    <w:rsid w:val="40884CA9"/>
    <w:rsid w:val="40BD676E"/>
    <w:rsid w:val="417E75E8"/>
    <w:rsid w:val="41910115"/>
    <w:rsid w:val="41D908F9"/>
    <w:rsid w:val="438B3EDE"/>
    <w:rsid w:val="4495014D"/>
    <w:rsid w:val="44AD0C2A"/>
    <w:rsid w:val="44F31851"/>
    <w:rsid w:val="45AA573E"/>
    <w:rsid w:val="45B275F5"/>
    <w:rsid w:val="46BC33FE"/>
    <w:rsid w:val="46EE7477"/>
    <w:rsid w:val="47BC0C07"/>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B142EA"/>
    <w:rsid w:val="506863A4"/>
    <w:rsid w:val="507D6E7C"/>
    <w:rsid w:val="508F27C5"/>
    <w:rsid w:val="50F55D99"/>
    <w:rsid w:val="513814F5"/>
    <w:rsid w:val="513B5867"/>
    <w:rsid w:val="51497716"/>
    <w:rsid w:val="51A30093"/>
    <w:rsid w:val="520457CB"/>
    <w:rsid w:val="522C2C59"/>
    <w:rsid w:val="539774E2"/>
    <w:rsid w:val="53C953AC"/>
    <w:rsid w:val="541A03F5"/>
    <w:rsid w:val="54C5216A"/>
    <w:rsid w:val="54D577A2"/>
    <w:rsid w:val="5527238A"/>
    <w:rsid w:val="55357439"/>
    <w:rsid w:val="56436A5D"/>
    <w:rsid w:val="57286DB3"/>
    <w:rsid w:val="57315742"/>
    <w:rsid w:val="589A572D"/>
    <w:rsid w:val="589B7196"/>
    <w:rsid w:val="58C92DB8"/>
    <w:rsid w:val="590271D1"/>
    <w:rsid w:val="594608FB"/>
    <w:rsid w:val="5A2C4216"/>
    <w:rsid w:val="5A3433AD"/>
    <w:rsid w:val="5A550A07"/>
    <w:rsid w:val="5B761B8D"/>
    <w:rsid w:val="5BC000BF"/>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577977"/>
    <w:rsid w:val="75645785"/>
    <w:rsid w:val="75716A92"/>
    <w:rsid w:val="758D2516"/>
    <w:rsid w:val="7599235F"/>
    <w:rsid w:val="75AE2AF5"/>
    <w:rsid w:val="75BD7F3E"/>
    <w:rsid w:val="7858402F"/>
    <w:rsid w:val="78D50787"/>
    <w:rsid w:val="78EE5436"/>
    <w:rsid w:val="79B17807"/>
    <w:rsid w:val="79FE2EB5"/>
    <w:rsid w:val="7AE26EA4"/>
    <w:rsid w:val="7B8F04A8"/>
    <w:rsid w:val="7C95557C"/>
    <w:rsid w:val="7D3A4490"/>
    <w:rsid w:val="7D3F0A9F"/>
    <w:rsid w:val="7DC41D70"/>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11566</Words>
  <Characters>12425</Characters>
  <Lines>186</Lines>
  <Paragraphs>52</Paragraphs>
  <TotalTime>36</TotalTime>
  <ScaleCrop>false</ScaleCrop>
  <LinksUpToDate>false</LinksUpToDate>
  <CharactersWithSpaces>12643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2025-11-24T08:07:18Z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