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eastAsia="zh-CN"/>
        </w:rPr>
        <w:t>网上竞价文件</w:t>
      </w:r>
    </w:p>
    <w:p w14:paraId="787704FE">
      <w:pPr>
        <w:pStyle w:val="11"/>
        <w:spacing w:line="0" w:lineRule="atLeast"/>
        <w:rPr>
          <w:rFonts w:hAnsi="宋体"/>
          <w:b/>
          <w:color w:val="auto"/>
          <w:sz w:val="32"/>
          <w:highlight w:val="none"/>
        </w:rPr>
      </w:pPr>
    </w:p>
    <w:p w14:paraId="6CBF94AB">
      <w:pPr>
        <w:pStyle w:val="11"/>
        <w:spacing w:line="0" w:lineRule="atLeast"/>
        <w:jc w:val="center"/>
        <w:rPr>
          <w:rFonts w:hAnsi="宋体"/>
          <w:b/>
          <w:color w:val="auto"/>
          <w:sz w:val="36"/>
          <w:highlight w:val="none"/>
        </w:rPr>
      </w:pPr>
    </w:p>
    <w:p w14:paraId="0DC222AE">
      <w:pPr>
        <w:pStyle w:val="11"/>
        <w:spacing w:line="0" w:lineRule="atLeast"/>
        <w:jc w:val="both"/>
        <w:rPr>
          <w:rFonts w:hAnsi="宋体"/>
          <w:b/>
          <w:color w:val="auto"/>
          <w:sz w:val="36"/>
          <w:highlight w:val="none"/>
        </w:rPr>
      </w:pPr>
    </w:p>
    <w:p w14:paraId="0DD67B47">
      <w:pPr>
        <w:pStyle w:val="11"/>
        <w:spacing w:line="0" w:lineRule="atLeast"/>
        <w:jc w:val="both"/>
        <w:rPr>
          <w:rFonts w:hAnsi="宋体"/>
          <w:b/>
          <w:color w:val="auto"/>
          <w:sz w:val="36"/>
          <w:highlight w:val="none"/>
        </w:rPr>
      </w:pPr>
    </w:p>
    <w:p w14:paraId="7F3ECCF0">
      <w:pPr>
        <w:pStyle w:val="11"/>
        <w:spacing w:line="0" w:lineRule="atLeast"/>
        <w:jc w:val="both"/>
        <w:rPr>
          <w:rFonts w:hAnsi="宋体"/>
          <w:b/>
          <w:color w:val="auto"/>
          <w:sz w:val="36"/>
          <w:highlight w:val="none"/>
        </w:rPr>
      </w:pPr>
    </w:p>
    <w:p w14:paraId="65572771">
      <w:pPr>
        <w:pStyle w:val="11"/>
        <w:spacing w:line="400" w:lineRule="exact"/>
        <w:rPr>
          <w:rFonts w:hAnsi="宋体"/>
          <w:b/>
          <w:color w:val="auto"/>
          <w:sz w:val="36"/>
          <w:highlight w:val="none"/>
        </w:rPr>
      </w:pPr>
    </w:p>
    <w:p w14:paraId="31591C01">
      <w:pPr>
        <w:pStyle w:val="11"/>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JJZB-WJ-2025016</w:t>
      </w:r>
    </w:p>
    <w:p w14:paraId="6385ECEA">
      <w:pPr>
        <w:pStyle w:val="11"/>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 xml:space="preserve"> 福州职业技术学院智能工程学院校级精品在线课程《航空发动机修理技术》建设项目</w:t>
      </w:r>
    </w:p>
    <w:p w14:paraId="4D39A686">
      <w:pPr>
        <w:pStyle w:val="11"/>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6"/>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0EEAA74E">
      <w:pPr>
        <w:pStyle w:val="2"/>
        <w:rPr>
          <w:rFonts w:hint="default"/>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福州职业技术学院智能工程学院校级精品在线课程《航空发动机修理技术》建设项目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JJZB-WJ-2025016</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福州职业技术学院智能工程学院校级精品在线课程《航空发动机修理技术》建设项目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w:t>
      </w:r>
      <w:r>
        <w:rPr>
          <w:rFonts w:hint="eastAsia" w:ascii="宋体" w:hAnsi="宋体" w:cs="宋体"/>
          <w:b/>
          <w:color w:val="auto"/>
          <w:sz w:val="24"/>
          <w:highlight w:val="none"/>
          <w:lang w:eastAsia="zh-CN"/>
        </w:rPr>
        <w:t>格和</w:t>
      </w:r>
      <w:r>
        <w:rPr>
          <w:rFonts w:hint="eastAsia" w:ascii="宋体" w:hAnsi="宋体" w:eastAsia="宋体" w:cs="宋体"/>
          <w:b/>
          <w:color w:val="auto"/>
          <w:sz w:val="24"/>
          <w:highlight w:val="none"/>
        </w:rPr>
        <w:t>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8"/>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600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w:t>
      </w:r>
      <w:r>
        <w:rPr>
          <w:rFonts w:hint="eastAsia" w:ascii="宋体" w:hAnsi="宋体" w:cs="宋体"/>
          <w:color w:val="auto"/>
          <w:sz w:val="24"/>
          <w:highlight w:val="none"/>
          <w:lang w:eastAsia="zh-CN"/>
        </w:rPr>
        <w:t>到账时间</w:t>
      </w:r>
      <w:r>
        <w:rPr>
          <w:rFonts w:hint="eastAsia" w:ascii="宋体" w:hAnsi="宋体" w:eastAsia="宋体" w:cs="宋体"/>
          <w:color w:val="auto"/>
          <w:sz w:val="24"/>
          <w:highlight w:val="none"/>
        </w:rPr>
        <w:t>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：李老师 18060706275</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hint="default" w:ascii="宋体" w:hAnsi="宋体" w:cs="宋体"/>
          <w:b/>
          <w:bCs/>
          <w:color w:val="auto"/>
          <w:sz w:val="24"/>
          <w:highlight w:val="none"/>
          <w:lang w:val="en-US"/>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8"/>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若供应商的响应文件存在网上竞价文件中规定的无效响应情形，则报名审核不合格，该供应商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8"/>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2" w:firstLineChars="200"/>
        <w:jc w:val="left"/>
        <w:textAlignment w:val="baseline"/>
        <w:rPr>
          <w:rStyle w:val="31"/>
          <w:rFonts w:ascii="宋体" w:hAnsi="宋体"/>
          <w:color w:val="auto"/>
          <w:kern w:val="0"/>
          <w:sz w:val="24"/>
          <w:highlight w:val="none"/>
        </w:rPr>
      </w:pPr>
      <w:r>
        <w:rPr>
          <w:rStyle w:val="31"/>
          <w:rFonts w:hint="eastAsia" w:ascii="宋体" w:hAnsi="宋体"/>
          <w:b/>
          <w:bCs/>
          <w:color w:val="auto"/>
          <w:kern w:val="0"/>
          <w:sz w:val="24"/>
          <w:highlight w:val="none"/>
        </w:rPr>
        <w:t>2.供应商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w:t>
      </w:r>
      <w:r>
        <w:rPr>
          <w:rFonts w:hint="eastAsia" w:ascii="宋体" w:hAnsi="宋体" w:cs="宋体"/>
          <w:color w:val="auto"/>
          <w:sz w:val="24"/>
          <w:highlight w:val="none"/>
          <w:lang w:eastAsia="zh-CN"/>
        </w:rPr>
        <w:t>【</w:t>
      </w:r>
      <w:r>
        <w:rPr>
          <w:rFonts w:hint="eastAsia" w:ascii="宋体" w:hAnsi="宋体" w:cs="宋体"/>
          <w:color w:val="auto"/>
          <w:sz w:val="24"/>
          <w:highlight w:val="none"/>
        </w:rPr>
        <w:t>包括更正公告(如有的话)和有关附件</w:t>
      </w:r>
      <w:r>
        <w:rPr>
          <w:rFonts w:hint="eastAsia" w:ascii="宋体" w:hAnsi="宋体" w:cs="宋体"/>
          <w:color w:val="auto"/>
          <w:sz w:val="24"/>
          <w:highlight w:val="none"/>
          <w:lang w:eastAsia="zh-CN"/>
        </w:rPr>
        <w:t>】</w:t>
      </w:r>
      <w:r>
        <w:rPr>
          <w:rFonts w:hint="eastAsia" w:ascii="宋体" w:hAnsi="宋体" w:cs="宋体"/>
          <w:color w:val="auto"/>
          <w:sz w:val="24"/>
          <w:highlight w:val="none"/>
        </w:rPr>
        <w:t>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1"/>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8"/>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8"/>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8"/>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8"/>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w:t>
      </w:r>
      <w:r>
        <w:rPr>
          <w:rFonts w:hint="eastAsia" w:cs="宋体"/>
          <w:color w:val="auto"/>
          <w:kern w:val="2"/>
          <w:sz w:val="24"/>
          <w:szCs w:val="24"/>
          <w:highlight w:val="none"/>
          <w:lang w:val="en-US" w:eastAsia="zh-CN" w:bidi="ar-SA"/>
        </w:rPr>
        <w:t>假借</w:t>
      </w:r>
      <w:r>
        <w:rPr>
          <w:rFonts w:hint="eastAsia" w:ascii="宋体" w:hAnsi="宋体" w:eastAsia="宋体" w:cs="宋体"/>
          <w:color w:val="auto"/>
          <w:kern w:val="2"/>
          <w:sz w:val="24"/>
          <w:szCs w:val="24"/>
          <w:highlight w:val="none"/>
          <w:lang w:val="en-US" w:eastAsia="zh-CN" w:bidi="ar-SA"/>
        </w:rPr>
        <w:t>他人名义参加竞价或者弄虚作假，骗取成交；</w:t>
      </w:r>
    </w:p>
    <w:p w14:paraId="5D3973BB">
      <w:pPr>
        <w:pStyle w:val="18"/>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w:t>
      </w:r>
      <w:r>
        <w:rPr>
          <w:rFonts w:hint="eastAsia" w:ascii="宋体" w:hAnsi="宋体" w:cs="宋体"/>
          <w:b/>
          <w:bCs/>
          <w:color w:val="auto"/>
          <w:kern w:val="2"/>
          <w:sz w:val="24"/>
          <w:szCs w:val="24"/>
          <w:highlight w:val="none"/>
          <w:lang w:val="en-US" w:eastAsia="zh-CN" w:bidi="ar-SA"/>
        </w:rPr>
        <w:t>项目</w:t>
      </w:r>
      <w:r>
        <w:rPr>
          <w:rFonts w:hint="eastAsia" w:ascii="宋体" w:hAnsi="宋体" w:eastAsia="宋体" w:cs="宋体"/>
          <w:b/>
          <w:bCs/>
          <w:color w:val="auto"/>
          <w:kern w:val="2"/>
          <w:sz w:val="24"/>
          <w:szCs w:val="24"/>
          <w:highlight w:val="none"/>
          <w:lang w:val="en-US" w:eastAsia="zh-CN" w:bidi="ar-SA"/>
        </w:rPr>
        <w:t>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25054DAB">
      <w:pPr>
        <w:spacing w:line="500" w:lineRule="exact"/>
        <w:ind w:firstLine="480" w:firstLineChars="200"/>
        <w:jc w:val="left"/>
        <w:rPr>
          <w:rFonts w:hint="eastAsia" w:ascii="宋体" w:hAnsi="宋体" w:cs="宋体"/>
          <w:b/>
          <w:color w:val="auto"/>
          <w:kern w:val="0"/>
          <w:sz w:val="28"/>
          <w:szCs w:val="28"/>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360" w:lineRule="exact"/>
        <w:outlineLvl w:val="1"/>
        <w:rPr>
          <w:rFonts w:ascii="宋体" w:hAnsi="宋体" w:cs="宋体"/>
          <w:b/>
          <w:color w:val="auto"/>
          <w:sz w:val="24"/>
          <w:szCs w:val="24"/>
          <w:highlight w:val="none"/>
        </w:rPr>
      </w:pPr>
      <w:bookmarkStart w:id="1" w:name="_Toc358016816"/>
      <w:bookmarkStart w:id="2" w:name="_Toc359317661"/>
      <w:bookmarkStart w:id="3" w:name="_Toc330567034"/>
      <w:bookmarkStart w:id="4" w:name="_Toc347060296"/>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501940B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依据《福建省职业教育精品在线开放课程建设指南（试行）》的相关规定与标准，系统推进课程教学资源开发建设工作。为确保课程资源成功上线并稳定运行，构建完善的教学效果跟踪评价体系，深入开展教学研究活动。在建设过程中，积极拓展校企合作与校校合作渠道，深度融合工学人才培养模式，以实际项目任务作为教学核心驱动力。创新运用翻转课堂教学模式，充分发挥在线开放课程和信息化教学手段的优势，打破传统教学时空限制。以此为契机，推动职业教育实现三大关键转变：在教学理念上，从以教师单向传授知识为主，转变为以学生自主学习、主动探索为主；在教学空间与时间维度上，从局限于传统课堂教学，转变为课内课外、线上线下有机融合的全方位教学模式；在教学评价方式上，从单一注重学习结果评价，转变为过程性评价与结果性评价并重的综合评价体系，全面提升职业教育教学质量与人才培养水平。</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金额单位：人民币元</w:t>
      </w:r>
    </w:p>
    <w:tbl>
      <w:tblPr>
        <w:tblStyle w:val="22"/>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110"/>
        <w:gridCol w:w="3030"/>
        <w:gridCol w:w="1379"/>
        <w:gridCol w:w="2191"/>
        <w:gridCol w:w="3737"/>
        <w:gridCol w:w="1722"/>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default" w:ascii="宋体" w:hAnsi="宋体" w:eastAsia="宋体"/>
                <w:b/>
                <w:bCs/>
                <w:color w:val="auto"/>
                <w:kern w:val="0"/>
                <w:sz w:val="24"/>
                <w:szCs w:val="24"/>
                <w:highlight w:val="none"/>
                <w:lang w:val="en-US" w:eastAsia="zh-CN"/>
              </w:rPr>
              <w:t>服务名称</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服务期限</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0994EF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lang w:val="en-US" w:eastAsia="zh-CN"/>
              </w:rPr>
            </w:pPr>
            <w:r>
              <w:rPr>
                <w:rFonts w:hint="default" w:ascii="宋体" w:hAnsi="宋体" w:eastAsia="宋体" w:cs="新宋体"/>
                <w:b w:val="0"/>
                <w:bCs w:val="0"/>
                <w:color w:val="auto"/>
                <w:kern w:val="0"/>
                <w:sz w:val="24"/>
                <w:szCs w:val="24"/>
                <w:highlight w:val="none"/>
                <w:lang w:val="en-US" w:eastAsia="zh-CN"/>
              </w:rPr>
              <w:t>校级精品在线课程《航空发动机修理技术》建设</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 xml:space="preserve">自合同签订之日起21日内完成 </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68900.00</w:t>
            </w:r>
          </w:p>
        </w:tc>
      </w:tr>
    </w:tbl>
    <w:p w14:paraId="494F6A1F">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、本项目采购包成交候选人数量：1名。</w:t>
      </w:r>
    </w:p>
    <w:p w14:paraId="3E4145C7">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、供应商报价应包含本次项目所涉及到的所有费用，包括但不限于：</w:t>
      </w:r>
      <w:r>
        <w:rPr>
          <w:rFonts w:hint="eastAsia" w:asciiTheme="minorEastAsia" w:hAnsiTheme="minorEastAsia" w:eastAsiaTheme="minorEastAsia" w:cstheme="minorEastAsia"/>
          <w:sz w:val="24"/>
          <w:szCs w:val="24"/>
          <w:lang w:val="en-US" w:eastAsia="zh-CN"/>
        </w:rPr>
        <w:t>项目所需、设备、人工、材料、工具</w:t>
      </w:r>
      <w:r>
        <w:rPr>
          <w:rFonts w:hint="eastAsia" w:ascii="宋体" w:hAnsi="宋体" w:eastAsia="宋体" w:cs="宋体"/>
          <w:b w:val="0"/>
          <w:bCs w:val="0"/>
          <w:color w:val="auto"/>
          <w:kern w:val="0"/>
          <w:sz w:val="24"/>
          <w:szCs w:val="24"/>
          <w:highlight w:val="none"/>
          <w:lang w:val="en-US" w:eastAsia="zh-CN" w:bidi="ar-SA"/>
        </w:rPr>
        <w:t>、税费等。</w:t>
      </w:r>
    </w:p>
    <w:p w14:paraId="3C8EE053">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r>
        <w:rPr>
          <w:rFonts w:hint="eastAsia" w:asciiTheme="minorEastAsia" w:hAnsiTheme="minorEastAsia" w:eastAsiaTheme="minorEastAsia" w:cstheme="minorEastAsia"/>
          <w:b/>
          <w:color w:val="auto"/>
          <w:sz w:val="24"/>
          <w:szCs w:val="24"/>
          <w:highlight w:val="none"/>
        </w:rPr>
        <w:t>。</w:t>
      </w:r>
    </w:p>
    <w:p w14:paraId="0DD860BC">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1、采购内容：</w:t>
      </w:r>
    </w:p>
    <w:tbl>
      <w:tblPr>
        <w:tblStyle w:val="23"/>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95"/>
        <w:gridCol w:w="12117"/>
      </w:tblGrid>
      <w:tr w14:paraId="11E3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2" w:type="dxa"/>
            <w:vAlign w:val="center"/>
          </w:tcPr>
          <w:p w14:paraId="46DEFF87">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序号</w:t>
            </w:r>
          </w:p>
        </w:tc>
        <w:tc>
          <w:tcPr>
            <w:tcW w:w="1395" w:type="dxa"/>
            <w:vAlign w:val="center"/>
          </w:tcPr>
          <w:p w14:paraId="669B553F">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名称</w:t>
            </w:r>
          </w:p>
        </w:tc>
        <w:tc>
          <w:tcPr>
            <w:tcW w:w="12117" w:type="dxa"/>
            <w:vAlign w:val="center"/>
          </w:tcPr>
          <w:p w14:paraId="7022463F">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技术要求</w:t>
            </w:r>
          </w:p>
        </w:tc>
      </w:tr>
      <w:tr w14:paraId="158F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5A15A135">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1</w:t>
            </w:r>
          </w:p>
        </w:tc>
        <w:tc>
          <w:tcPr>
            <w:tcW w:w="1395" w:type="dxa"/>
            <w:vAlign w:val="center"/>
          </w:tcPr>
          <w:p w14:paraId="0AD64E17">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0" w:firstLineChars="0"/>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校级精品在线课程《航空发动机修理技术》建设</w:t>
            </w:r>
          </w:p>
        </w:tc>
        <w:tc>
          <w:tcPr>
            <w:tcW w:w="12117" w:type="dxa"/>
            <w:vAlign w:val="center"/>
          </w:tcPr>
          <w:p w14:paraId="7778FA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sz w:val="24"/>
                <w:szCs w:val="24"/>
              </w:rPr>
              <w:t>课程教学内容体系</w:t>
            </w:r>
            <w:r>
              <w:rPr>
                <w:rFonts w:hint="eastAsia" w:asciiTheme="minorEastAsia" w:hAnsiTheme="minorEastAsia" w:eastAsiaTheme="minorEastAsia" w:cstheme="minorEastAsia"/>
                <w:sz w:val="24"/>
                <w:szCs w:val="24"/>
                <w:lang w:val="en-US" w:eastAsia="zh-CN"/>
              </w:rPr>
              <w:t>进行教学资源制作。</w:t>
            </w:r>
          </w:p>
          <w:p w14:paraId="561BAB06">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一、课程教学内容体系：</w:t>
            </w:r>
          </w:p>
          <w:tbl>
            <w:tblPr>
              <w:tblStyle w:val="23"/>
              <w:tblW w:w="11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55"/>
              <w:gridCol w:w="2734"/>
              <w:gridCol w:w="2633"/>
              <w:gridCol w:w="2083"/>
              <w:gridCol w:w="2484"/>
            </w:tblGrid>
            <w:tr w14:paraId="61F9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D15A1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55" w:type="dxa"/>
                  <w:vAlign w:val="center"/>
                </w:tcPr>
                <w:p w14:paraId="6C4297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知识点（技能点）</w:t>
                  </w:r>
                </w:p>
              </w:tc>
              <w:tc>
                <w:tcPr>
                  <w:tcW w:w="2734" w:type="dxa"/>
                  <w:vAlign w:val="center"/>
                </w:tcPr>
                <w:p w14:paraId="0468AC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教学目标</w:t>
                  </w:r>
                </w:p>
              </w:tc>
              <w:tc>
                <w:tcPr>
                  <w:tcW w:w="2633" w:type="dxa"/>
                  <w:vAlign w:val="center"/>
                </w:tcPr>
                <w:p w14:paraId="70D8D7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课程思政</w:t>
                  </w:r>
                </w:p>
              </w:tc>
              <w:tc>
                <w:tcPr>
                  <w:tcW w:w="2083" w:type="dxa"/>
                  <w:vAlign w:val="center"/>
                </w:tcPr>
                <w:p w14:paraId="4C4D5B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教学设计与方法</w:t>
                  </w:r>
                </w:p>
              </w:tc>
              <w:tc>
                <w:tcPr>
                  <w:tcW w:w="2484" w:type="dxa"/>
                  <w:vAlign w:val="center"/>
                </w:tcPr>
                <w:p w14:paraId="1930B1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基础内容</w:t>
                  </w:r>
                </w:p>
              </w:tc>
            </w:tr>
            <w:tr w14:paraId="694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9" w:type="dxa"/>
                  <w:vAlign w:val="center"/>
                </w:tcPr>
                <w:p w14:paraId="0BCED0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55" w:type="dxa"/>
                  <w:vAlign w:val="center"/>
                </w:tcPr>
                <w:p w14:paraId="38FBF3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课程总述</w:t>
                  </w:r>
                </w:p>
              </w:tc>
              <w:tc>
                <w:tcPr>
                  <w:tcW w:w="2734" w:type="dxa"/>
                  <w:vAlign w:val="center"/>
                </w:tcPr>
                <w:p w14:paraId="04D405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了解本门课程的主要教学内容和教学方式</w:t>
                  </w:r>
                </w:p>
              </w:tc>
              <w:tc>
                <w:tcPr>
                  <w:tcW w:w="2633" w:type="dxa"/>
                </w:tcPr>
                <w:p w14:paraId="3E5495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利用</w:t>
                  </w:r>
                  <w:r>
                    <w:rPr>
                      <w:rFonts w:hint="eastAsia" w:asciiTheme="minorEastAsia" w:hAnsiTheme="minorEastAsia" w:eastAsiaTheme="minorEastAsia" w:cstheme="minorEastAsia"/>
                      <w:sz w:val="24"/>
                      <w:szCs w:val="24"/>
                    </w:rPr>
                    <w:t>国产发动机突破</w:t>
                  </w:r>
                  <w:r>
                    <w:rPr>
                      <w:rFonts w:hint="eastAsia" w:asciiTheme="minorEastAsia" w:hAnsiTheme="minorEastAsia" w:eastAsiaTheme="minorEastAsia" w:cstheme="minorEastAsia"/>
                      <w:sz w:val="24"/>
                      <w:szCs w:val="24"/>
                      <w:lang w:val="en-US" w:eastAsia="zh-CN"/>
                    </w:rPr>
                    <w:t>案例</w:t>
                  </w:r>
                  <w:r>
                    <w:rPr>
                      <w:rFonts w:hint="eastAsia" w:asciiTheme="minorEastAsia" w:hAnsiTheme="minorEastAsia" w:eastAsiaTheme="minorEastAsia" w:cstheme="minorEastAsia"/>
                      <w:sz w:val="24"/>
                      <w:szCs w:val="24"/>
                    </w:rPr>
                    <w:t>，激发航空报国志向。</w:t>
                  </w:r>
                  <w:r>
                    <w:rPr>
                      <w:rFonts w:hint="eastAsia" w:asciiTheme="minorEastAsia" w:hAnsiTheme="minorEastAsia" w:eastAsiaTheme="minorEastAsia" w:cstheme="minorEastAsia"/>
                      <w:sz w:val="24"/>
                      <w:szCs w:val="24"/>
                      <w:lang w:val="en-US" w:eastAsia="zh-CN"/>
                    </w:rPr>
                    <w:t>鼓励学生</w:t>
                  </w:r>
                  <w:r>
                    <w:rPr>
                      <w:rFonts w:hint="eastAsia" w:asciiTheme="minorEastAsia" w:hAnsiTheme="minorEastAsia" w:eastAsiaTheme="minorEastAsia" w:cstheme="minorEastAsia"/>
                      <w:sz w:val="24"/>
                      <w:szCs w:val="24"/>
                    </w:rPr>
                    <w:t>勇攀技术高峰，服务国家战略需求。</w:t>
                  </w:r>
                </w:p>
              </w:tc>
              <w:tc>
                <w:tcPr>
                  <w:tcW w:w="2083" w:type="dxa"/>
                </w:tcPr>
                <w:p w14:paraId="5A6408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介绍本门课程的主要组成</w:t>
                  </w:r>
                </w:p>
                <w:p w14:paraId="41A60D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分析各模块的教学方法</w:t>
                  </w:r>
                </w:p>
              </w:tc>
              <w:tc>
                <w:tcPr>
                  <w:tcW w:w="2484" w:type="dxa"/>
                </w:tcPr>
                <w:p w14:paraId="7EE45C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对整门课程进行整体的介绍，分模块阐述教学内容</w:t>
                  </w:r>
                </w:p>
              </w:tc>
            </w:tr>
            <w:tr w14:paraId="5964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599" w:type="dxa"/>
                  <w:vAlign w:val="center"/>
                </w:tcPr>
                <w:p w14:paraId="68F264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55" w:type="dxa"/>
                  <w:vAlign w:val="center"/>
                </w:tcPr>
                <w:p w14:paraId="7735E3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发动机基础</w:t>
                  </w:r>
                  <w:r>
                    <w:rPr>
                      <w:rFonts w:hint="eastAsia" w:asciiTheme="minorEastAsia" w:hAnsiTheme="minorEastAsia" w:eastAsiaTheme="minorEastAsia" w:cstheme="minorEastAsia"/>
                      <w:spacing w:val="-4"/>
                      <w:sz w:val="24"/>
                      <w:szCs w:val="24"/>
                      <w:lang w:val="en-US" w:eastAsia="zh-CN"/>
                    </w:rPr>
                    <w:t>理论</w:t>
                  </w:r>
                  <w:r>
                    <w:rPr>
                      <w:rFonts w:hint="eastAsia" w:asciiTheme="minorEastAsia" w:hAnsiTheme="minorEastAsia" w:eastAsiaTheme="minorEastAsia" w:cstheme="minorEastAsia"/>
                      <w:spacing w:val="-4"/>
                      <w:sz w:val="24"/>
                      <w:szCs w:val="24"/>
                    </w:rPr>
                    <w:t>知识</w:t>
                  </w:r>
                </w:p>
              </w:tc>
              <w:tc>
                <w:tcPr>
                  <w:tcW w:w="2734" w:type="dxa"/>
                  <w:vAlign w:val="center"/>
                </w:tcPr>
                <w:p w14:paraId="775DA5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1.掌握力学基础，在实际操作中可以结合理论进行作业</w:t>
                  </w:r>
                </w:p>
                <w:p w14:paraId="066D49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2.了解热力学基础，在学习实践操作时可加以应用</w:t>
                  </w:r>
                </w:p>
                <w:p w14:paraId="1BBA3F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3.了解气体动力学基础</w:t>
                  </w:r>
                </w:p>
                <w:p w14:paraId="4EA69E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4.掌握涡轮发动机维修中需要注意的安全规范以及严谨精神</w:t>
                  </w:r>
                </w:p>
              </w:tc>
              <w:tc>
                <w:tcPr>
                  <w:tcW w:w="2633" w:type="dxa"/>
                  <w:vAlign w:val="center"/>
                </w:tcPr>
                <w:p w14:paraId="355EE0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以中国民航</w:t>
                  </w:r>
                  <w:r>
                    <w:rPr>
                      <w:rFonts w:hint="eastAsia" w:asciiTheme="minorEastAsia" w:hAnsiTheme="minorEastAsia" w:eastAsiaTheme="minorEastAsia" w:cstheme="minorEastAsia"/>
                      <w:sz w:val="24"/>
                      <w:szCs w:val="24"/>
                    </w:rPr>
                    <w:t>毫米级精度</w:t>
                  </w:r>
                  <w:r>
                    <w:rPr>
                      <w:rFonts w:hint="eastAsia" w:asciiTheme="minorEastAsia" w:hAnsiTheme="minorEastAsia" w:eastAsiaTheme="minorEastAsia" w:cstheme="minorEastAsia"/>
                      <w:sz w:val="24"/>
                      <w:szCs w:val="24"/>
                      <w:lang w:val="en-US" w:eastAsia="zh-CN"/>
                    </w:rPr>
                    <w:t>为目标</w:t>
                  </w:r>
                  <w:r>
                    <w:rPr>
                      <w:rFonts w:hint="eastAsia" w:asciiTheme="minorEastAsia" w:hAnsiTheme="minorEastAsia" w:eastAsiaTheme="minorEastAsia" w:cstheme="minorEastAsia"/>
                      <w:sz w:val="24"/>
                      <w:szCs w:val="24"/>
                    </w:rPr>
                    <w:t>，培养严谨细致作风。</w:t>
                  </w:r>
                  <w:r>
                    <w:rPr>
                      <w:rFonts w:hint="eastAsia" w:asciiTheme="minorEastAsia" w:hAnsiTheme="minorEastAsia" w:eastAsiaTheme="minorEastAsia" w:cstheme="minorEastAsia"/>
                      <w:sz w:val="24"/>
                      <w:szCs w:val="24"/>
                      <w:lang w:val="en-US" w:eastAsia="zh-CN"/>
                    </w:rPr>
                    <w:t>培养学生</w:t>
                  </w:r>
                  <w:r>
                    <w:rPr>
                      <w:rFonts w:hint="eastAsia" w:asciiTheme="minorEastAsia" w:hAnsiTheme="minorEastAsia" w:eastAsiaTheme="minorEastAsia" w:cstheme="minorEastAsia"/>
                      <w:sz w:val="24"/>
                      <w:szCs w:val="24"/>
                    </w:rPr>
                    <w:t>零缺陷质量意识，践行精益求精追求。</w:t>
                  </w:r>
                </w:p>
              </w:tc>
              <w:tc>
                <w:tcPr>
                  <w:tcW w:w="2083" w:type="dxa"/>
                  <w:vAlign w:val="center"/>
                </w:tcPr>
                <w:p w14:paraId="644E8C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4D5B60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1.现场教学法</w:t>
                  </w:r>
                </w:p>
                <w:p w14:paraId="58BFDF2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7C5CE4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3.小组讨论法</w:t>
                  </w:r>
                </w:p>
                <w:p w14:paraId="1DBA8C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1D4A0E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10E5F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2.电子案例教学</w:t>
                  </w:r>
                </w:p>
              </w:tc>
              <w:tc>
                <w:tcPr>
                  <w:tcW w:w="2484" w:type="dxa"/>
                  <w:vAlign w:val="center"/>
                </w:tcPr>
                <w:p w14:paraId="4C3325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1.物质、气体成分、运动</w:t>
                  </w:r>
                </w:p>
                <w:p w14:paraId="3FE425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2.热力基本状态参数、热力学概念理想气体的状态方程</w:t>
                  </w:r>
                </w:p>
                <w:p w14:paraId="197E3A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3.气体动力学、连续方程、动量方程、伯努利方程、音速(声速)</w:t>
                  </w:r>
                </w:p>
                <w:p w14:paraId="15922C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4.根据模型学习飞机升力的产生原理</w:t>
                  </w:r>
                </w:p>
              </w:tc>
            </w:tr>
            <w:tr w14:paraId="4BD8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AF5CB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55" w:type="dxa"/>
                  <w:vAlign w:val="center"/>
                </w:tcPr>
                <w:p w14:paraId="0728A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喷气发动机的分类</w:t>
                  </w:r>
                </w:p>
              </w:tc>
              <w:tc>
                <w:tcPr>
                  <w:tcW w:w="2734" w:type="dxa"/>
                  <w:vAlign w:val="center"/>
                </w:tcPr>
                <w:p w14:paraId="763A19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1.了解喷气发动机定义、基本术语</w:t>
                  </w:r>
                </w:p>
                <w:p w14:paraId="0F8E67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2.掌握发动机的基本分类</w:t>
                  </w:r>
                </w:p>
                <w:p w14:paraId="6967FF4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3.掌握发动机各种类特征</w:t>
                  </w:r>
                </w:p>
                <w:p w14:paraId="13D976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4.掌握基本航空维修中基本的严谨创新精神</w:t>
                  </w:r>
                </w:p>
              </w:tc>
              <w:tc>
                <w:tcPr>
                  <w:tcW w:w="2633" w:type="dxa"/>
                  <w:vAlign w:val="center"/>
                </w:tcPr>
                <w:p w14:paraId="39C31C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强化安全红线意识。规范操作流程，筑牢生命安全防线。</w:t>
                  </w:r>
                </w:p>
              </w:tc>
              <w:tc>
                <w:tcPr>
                  <w:tcW w:w="2083" w:type="dxa"/>
                  <w:vAlign w:val="center"/>
                </w:tcPr>
                <w:p w14:paraId="60AA5A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40503B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24CEEB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6D5156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1510B8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20899C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282B0B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221D26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1.发动机总体构造</w:t>
                  </w:r>
                </w:p>
                <w:p w14:paraId="0AE9C6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2.发动机的基本术语</w:t>
                  </w:r>
                </w:p>
                <w:p w14:paraId="742897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3.发动机的类型</w:t>
                  </w:r>
                </w:p>
                <w:p w14:paraId="7FE06E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4.飞机及发动机总体构造认知</w:t>
                  </w:r>
                </w:p>
              </w:tc>
            </w:tr>
            <w:tr w14:paraId="05CB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599" w:type="dxa"/>
                  <w:vAlign w:val="center"/>
                </w:tcPr>
                <w:p w14:paraId="03556E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55" w:type="dxa"/>
                  <w:vAlign w:val="center"/>
                </w:tcPr>
                <w:p w14:paraId="0B931F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涡喷发动机的一般介绍</w:t>
                  </w:r>
                </w:p>
              </w:tc>
              <w:tc>
                <w:tcPr>
                  <w:tcW w:w="2734" w:type="dxa"/>
                  <w:vAlign w:val="center"/>
                </w:tcPr>
                <w:p w14:paraId="7A8DB7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1.掌握飞机维修常用工具、量具的使用</w:t>
                  </w:r>
                </w:p>
                <w:p w14:paraId="28D4F5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2.掌握各种常用拆装工、量具、仪器设备使用注意事项</w:t>
                  </w:r>
                </w:p>
              </w:tc>
              <w:tc>
                <w:tcPr>
                  <w:tcW w:w="2633" w:type="dxa"/>
                  <w:vAlign w:val="center"/>
                </w:tcPr>
                <w:p w14:paraId="6EC35B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拆装任务分工，提升沟通协作能力。跨岗位配合演练，凝聚集体战斗力。</w:t>
                  </w:r>
                </w:p>
              </w:tc>
              <w:tc>
                <w:tcPr>
                  <w:tcW w:w="2083" w:type="dxa"/>
                  <w:vAlign w:val="center"/>
                </w:tcPr>
                <w:p w14:paraId="4AD74B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23E67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6C2B6E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622314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6EE3B6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413072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198507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1B03D0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1.飞机维修常用工具的使用</w:t>
                  </w:r>
                </w:p>
                <w:p w14:paraId="2F621E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2.飞机维修常用量具的使用</w:t>
                  </w:r>
                </w:p>
                <w:p w14:paraId="076169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3.飞机检测仪器的使用</w:t>
                  </w:r>
                </w:p>
                <w:p w14:paraId="72401E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4.飞机维修常用工、量具及检测仪器的使用实训</w:t>
                  </w:r>
                </w:p>
              </w:tc>
            </w:tr>
            <w:tr w14:paraId="1E33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622EA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55" w:type="dxa"/>
                  <w:vAlign w:val="center"/>
                </w:tcPr>
                <w:p w14:paraId="089C12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涡轮发动机基本结构</w:t>
                  </w:r>
                </w:p>
              </w:tc>
              <w:tc>
                <w:tcPr>
                  <w:tcW w:w="2734" w:type="dxa"/>
                  <w:vAlign w:val="center"/>
                </w:tcPr>
                <w:p w14:paraId="5981EE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1.了解</w:t>
                  </w:r>
                  <w:r>
                    <w:rPr>
                      <w:rFonts w:hint="eastAsia" w:asciiTheme="minorEastAsia" w:hAnsiTheme="minorEastAsia" w:eastAsiaTheme="minorEastAsia" w:cstheme="minorEastAsia"/>
                      <w:sz w:val="24"/>
                      <w:szCs w:val="24"/>
                      <w:lang w:val="en-US" w:eastAsia="zh-CN"/>
                    </w:rPr>
                    <w:t>涡轮</w:t>
                  </w:r>
                  <w:r>
                    <w:rPr>
                      <w:rFonts w:hint="eastAsia" w:asciiTheme="minorEastAsia" w:hAnsiTheme="minorEastAsia" w:eastAsiaTheme="minorEastAsia" w:cstheme="minorEastAsia"/>
                      <w:sz w:val="24"/>
                      <w:szCs w:val="24"/>
                    </w:rPr>
                    <w:t>发动机</w:t>
                  </w:r>
                  <w:r>
                    <w:rPr>
                      <w:rFonts w:hint="eastAsia" w:asciiTheme="minorEastAsia" w:hAnsiTheme="minorEastAsia" w:eastAsiaTheme="minorEastAsia" w:cstheme="minorEastAsia"/>
                      <w:sz w:val="24"/>
                      <w:szCs w:val="24"/>
                      <w:lang w:val="en-US" w:eastAsia="zh-CN"/>
                    </w:rPr>
                    <w:t>结构组成</w:t>
                  </w:r>
                </w:p>
                <w:p w14:paraId="5E7A67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2.了解发动机</w:t>
                  </w:r>
                  <w:r>
                    <w:rPr>
                      <w:rFonts w:hint="eastAsia" w:asciiTheme="minorEastAsia" w:hAnsiTheme="minorEastAsia" w:eastAsiaTheme="minorEastAsia" w:cstheme="minorEastAsia"/>
                      <w:sz w:val="24"/>
                      <w:szCs w:val="24"/>
                      <w:lang w:val="en-US" w:eastAsia="zh-CN"/>
                    </w:rPr>
                    <w:t>各结构</w:t>
                  </w:r>
                  <w:r>
                    <w:rPr>
                      <w:rFonts w:hint="eastAsia" w:asciiTheme="minorEastAsia" w:hAnsiTheme="minorEastAsia" w:eastAsiaTheme="minorEastAsia" w:cstheme="minorEastAsia"/>
                      <w:sz w:val="24"/>
                      <w:szCs w:val="24"/>
                    </w:rPr>
                    <w:t>的要素</w:t>
                  </w:r>
                </w:p>
              </w:tc>
              <w:tc>
                <w:tcPr>
                  <w:tcW w:w="2633" w:type="dxa"/>
                  <w:vAlign w:val="center"/>
                </w:tcPr>
                <w:p w14:paraId="79E593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对比进口发动机，彰显中国制造实力。</w:t>
                  </w:r>
                </w:p>
                <w:p w14:paraId="2F925F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鼓励学生</w:t>
                  </w:r>
                  <w:r>
                    <w:rPr>
                      <w:rFonts w:hint="eastAsia" w:asciiTheme="minorEastAsia" w:hAnsiTheme="minorEastAsia" w:eastAsiaTheme="minorEastAsia" w:cstheme="minorEastAsia"/>
                      <w:sz w:val="24"/>
                      <w:szCs w:val="24"/>
                    </w:rPr>
                    <w:t>自主创新突破，增强民族自豪感。</w:t>
                  </w:r>
                </w:p>
              </w:tc>
              <w:tc>
                <w:tcPr>
                  <w:tcW w:w="2083" w:type="dxa"/>
                  <w:vAlign w:val="center"/>
                </w:tcPr>
                <w:p w14:paraId="3051BE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17EE45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4F894A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57615E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0E218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468031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B02E3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15DEF1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发动机结构</w:t>
                  </w:r>
                  <w:r>
                    <w:rPr>
                      <w:rFonts w:hint="eastAsia" w:asciiTheme="minorEastAsia" w:hAnsiTheme="minorEastAsia" w:eastAsiaTheme="minorEastAsia" w:cstheme="minorEastAsia"/>
                      <w:sz w:val="24"/>
                      <w:szCs w:val="24"/>
                    </w:rPr>
                    <w:t>类型和参数</w:t>
                  </w:r>
                </w:p>
                <w:p w14:paraId="4CED18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各结构</w:t>
                  </w:r>
                  <w:r>
                    <w:rPr>
                      <w:rFonts w:hint="eastAsia" w:asciiTheme="minorEastAsia" w:hAnsiTheme="minorEastAsia" w:eastAsiaTheme="minorEastAsia" w:cstheme="minorEastAsia"/>
                      <w:sz w:val="24"/>
                      <w:szCs w:val="24"/>
                    </w:rPr>
                    <w:t>影响推力大小的因素</w:t>
                  </w:r>
                </w:p>
              </w:tc>
            </w:tr>
            <w:tr w14:paraId="15D1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FFA16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55" w:type="dxa"/>
                  <w:vAlign w:val="center"/>
                </w:tcPr>
                <w:p w14:paraId="463F82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进气道的结构和作用</w:t>
                  </w:r>
                </w:p>
              </w:tc>
              <w:tc>
                <w:tcPr>
                  <w:tcW w:w="2734" w:type="dxa"/>
                  <w:vAlign w:val="center"/>
                </w:tcPr>
                <w:p w14:paraId="69D25E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1.了解进气道的作用</w:t>
                  </w:r>
                </w:p>
                <w:p w14:paraId="3DA5A4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2.掌握进气道的类型和参数</w:t>
                  </w:r>
                </w:p>
                <w:p w14:paraId="5434D4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3.了解进气道的结构</w:t>
                  </w:r>
                </w:p>
              </w:tc>
              <w:tc>
                <w:tcPr>
                  <w:tcW w:w="2633" w:type="dxa"/>
                  <w:vAlign w:val="center"/>
                </w:tcPr>
                <w:p w14:paraId="21185B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指导学生学习</w:t>
                  </w:r>
                  <w:r>
                    <w:rPr>
                      <w:rFonts w:hint="eastAsia" w:asciiTheme="minorEastAsia" w:hAnsiTheme="minorEastAsia" w:eastAsiaTheme="minorEastAsia" w:cstheme="minorEastAsia"/>
                      <w:sz w:val="24"/>
                      <w:szCs w:val="24"/>
                    </w:rPr>
                    <w:t>维修技术</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rPr>
                    <w:t>，践行可持续发展观。减少资源浪费，守护蓝天生态责任。</w:t>
                  </w:r>
                </w:p>
              </w:tc>
              <w:tc>
                <w:tcPr>
                  <w:tcW w:w="2083" w:type="dxa"/>
                  <w:vAlign w:val="center"/>
                </w:tcPr>
                <w:p w14:paraId="7E0870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2A0CB5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155C97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22DC29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15C497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4C41CA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3FAA7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4D375F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1.进气道的结构</w:t>
                  </w:r>
                </w:p>
                <w:p w14:paraId="346C78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2.进气道的分类</w:t>
                  </w:r>
                </w:p>
                <w:p w14:paraId="3A1194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3.进气道的作用原理</w:t>
                  </w:r>
                </w:p>
                <w:p w14:paraId="1D0CEB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4.进气道的构造认识和维护</w:t>
                  </w:r>
                </w:p>
              </w:tc>
            </w:tr>
            <w:tr w14:paraId="7B53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9" w:type="dxa"/>
                  <w:vAlign w:val="center"/>
                </w:tcPr>
                <w:p w14:paraId="1DB3C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355" w:type="dxa"/>
                  <w:vAlign w:val="center"/>
                </w:tcPr>
                <w:p w14:paraId="69C8BB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压气机的结构和作用</w:t>
                  </w:r>
                </w:p>
              </w:tc>
              <w:tc>
                <w:tcPr>
                  <w:tcW w:w="2734" w:type="dxa"/>
                  <w:vAlign w:val="center"/>
                </w:tcPr>
                <w:p w14:paraId="7A5BD3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1.了解压气机的作用</w:t>
                  </w:r>
                </w:p>
                <w:p w14:paraId="70EAB6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2.掌握压气机的类型和参数</w:t>
                  </w:r>
                </w:p>
                <w:p w14:paraId="38B0FD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3.了解压气机的结构</w:t>
                  </w:r>
                </w:p>
              </w:tc>
              <w:tc>
                <w:tcPr>
                  <w:tcW w:w="2633" w:type="dxa"/>
                  <w:vAlign w:val="center"/>
                </w:tcPr>
                <w:p w14:paraId="4AE77E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实训过程中</w:t>
                  </w:r>
                  <w:r>
                    <w:rPr>
                      <w:rFonts w:hint="eastAsia" w:asciiTheme="minorEastAsia" w:hAnsiTheme="minorEastAsia" w:eastAsiaTheme="minorEastAsia" w:cstheme="minorEastAsia"/>
                      <w:sz w:val="24"/>
                      <w:szCs w:val="24"/>
                    </w:rPr>
                    <w:t>数据记录真实，杜绝虚假操作行为。诚信为本准则，树立职业道德标杆。</w:t>
                  </w:r>
                </w:p>
              </w:tc>
              <w:tc>
                <w:tcPr>
                  <w:tcW w:w="2083" w:type="dxa"/>
                  <w:vAlign w:val="center"/>
                </w:tcPr>
                <w:p w14:paraId="4C3457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2C83D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7C6C98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510F56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7C07D2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02BDE7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2AF9D5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6A344A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1.压气机的结构</w:t>
                  </w:r>
                </w:p>
                <w:p w14:paraId="16FF8F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2.压气机的分类</w:t>
                  </w:r>
                </w:p>
                <w:p w14:paraId="141808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3.压气机的作用原理</w:t>
                  </w:r>
                </w:p>
              </w:tc>
            </w:tr>
            <w:tr w14:paraId="27B4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9E70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355" w:type="dxa"/>
                  <w:vAlign w:val="center"/>
                </w:tcPr>
                <w:p w14:paraId="2C461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燃烧室的结构和作用</w:t>
                  </w:r>
                </w:p>
              </w:tc>
              <w:tc>
                <w:tcPr>
                  <w:tcW w:w="2734" w:type="dxa"/>
                  <w:vAlign w:val="center"/>
                </w:tcPr>
                <w:p w14:paraId="242D7A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1.了解燃烧室的作用</w:t>
                  </w:r>
                </w:p>
                <w:p w14:paraId="3BEF0E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2.掌握燃烧室的类型和参数</w:t>
                  </w:r>
                </w:p>
                <w:p w14:paraId="1A4D97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3.了解燃烧室的结构</w:t>
                  </w:r>
                </w:p>
              </w:tc>
              <w:tc>
                <w:tcPr>
                  <w:tcW w:w="2633" w:type="dxa"/>
                  <w:vAlign w:val="center"/>
                </w:tcPr>
                <w:p w14:paraId="0229A6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解读航空法规，严守行业法律底线。</w:t>
                  </w:r>
                  <w:r>
                    <w:rPr>
                      <w:rFonts w:hint="eastAsia" w:asciiTheme="minorEastAsia" w:hAnsiTheme="minorEastAsia" w:eastAsiaTheme="minorEastAsia" w:cstheme="minorEastAsia"/>
                      <w:sz w:val="24"/>
                      <w:szCs w:val="24"/>
                      <w:lang w:val="en-US" w:eastAsia="zh-CN"/>
                    </w:rPr>
                    <w:t>提醒学生</w:t>
                  </w:r>
                  <w:r>
                    <w:rPr>
                      <w:rFonts w:hint="eastAsia" w:asciiTheme="minorEastAsia" w:hAnsiTheme="minorEastAsia" w:eastAsiaTheme="minorEastAsia" w:cstheme="minorEastAsia"/>
                      <w:sz w:val="24"/>
                      <w:szCs w:val="24"/>
                    </w:rPr>
                    <w:t>违规操作后果，强化法治敬畏之心。</w:t>
                  </w:r>
                </w:p>
              </w:tc>
              <w:tc>
                <w:tcPr>
                  <w:tcW w:w="2083" w:type="dxa"/>
                  <w:vAlign w:val="center"/>
                </w:tcPr>
                <w:p w14:paraId="660B5D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7B52E1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0B7401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763937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05F313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64532C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3662FA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5D4ADD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1.燃烧室的结构</w:t>
                  </w:r>
                </w:p>
                <w:p w14:paraId="1AD2FF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2.燃烧室的分类</w:t>
                  </w:r>
                </w:p>
                <w:p w14:paraId="7D1736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3.燃烧室的作用原理</w:t>
                  </w:r>
                </w:p>
                <w:p w14:paraId="0790DF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4.燃烧室的构造认识和维护</w:t>
                  </w:r>
                </w:p>
              </w:tc>
            </w:tr>
            <w:tr w14:paraId="7297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E2EB6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355" w:type="dxa"/>
                  <w:vAlign w:val="center"/>
                </w:tcPr>
                <w:p w14:paraId="4EE444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涡轮的结构和作用</w:t>
                  </w:r>
                </w:p>
              </w:tc>
              <w:tc>
                <w:tcPr>
                  <w:tcW w:w="2734" w:type="dxa"/>
                  <w:vAlign w:val="center"/>
                </w:tcPr>
                <w:p w14:paraId="34CDD7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1.了解涡轮的作用</w:t>
                  </w:r>
                </w:p>
                <w:p w14:paraId="1C5000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2.掌握涡轮的类型和参数</w:t>
                  </w:r>
                </w:p>
                <w:p w14:paraId="53DBF2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3.了解涡轮的结构</w:t>
                  </w:r>
                </w:p>
              </w:tc>
              <w:tc>
                <w:tcPr>
                  <w:tcW w:w="2633" w:type="dxa"/>
                  <w:vAlign w:val="center"/>
                </w:tcPr>
                <w:p w14:paraId="124276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激发</w:t>
                  </w:r>
                  <w:r>
                    <w:rPr>
                      <w:rFonts w:hint="eastAsia" w:asciiTheme="minorEastAsia" w:hAnsiTheme="minorEastAsia" w:eastAsiaTheme="minorEastAsia" w:cstheme="minorEastAsia"/>
                      <w:sz w:val="24"/>
                      <w:szCs w:val="24"/>
                      <w:lang w:val="en-US" w:eastAsia="zh-CN"/>
                    </w:rPr>
                    <w:t>学生</w:t>
                  </w:r>
                  <w:r>
                    <w:rPr>
                      <w:rFonts w:hint="eastAsia" w:asciiTheme="minorEastAsia" w:hAnsiTheme="minorEastAsia" w:eastAsiaTheme="minorEastAsia" w:cstheme="minorEastAsia"/>
                      <w:sz w:val="24"/>
                      <w:szCs w:val="24"/>
                    </w:rPr>
                    <w:t>创新思维活力。</w:t>
                  </w:r>
                  <w:r>
                    <w:rPr>
                      <w:rFonts w:hint="eastAsia" w:asciiTheme="minorEastAsia" w:hAnsiTheme="minorEastAsia" w:eastAsiaTheme="minorEastAsia" w:cstheme="minorEastAsia"/>
                      <w:sz w:val="24"/>
                      <w:szCs w:val="24"/>
                      <w:lang w:val="en-US" w:eastAsia="zh-CN"/>
                    </w:rPr>
                    <w:t>利用</w:t>
                  </w:r>
                  <w:r>
                    <w:rPr>
                      <w:rFonts w:hint="eastAsia" w:asciiTheme="minorEastAsia" w:hAnsiTheme="minorEastAsia" w:eastAsiaTheme="minorEastAsia" w:cstheme="minorEastAsia"/>
                      <w:sz w:val="24"/>
                      <w:szCs w:val="24"/>
                    </w:rPr>
                    <w:t>技术革新案例，培养</w:t>
                  </w:r>
                  <w:r>
                    <w:rPr>
                      <w:rFonts w:hint="eastAsia" w:asciiTheme="minorEastAsia" w:hAnsiTheme="minorEastAsia" w:eastAsiaTheme="minorEastAsia" w:cstheme="minorEastAsia"/>
                      <w:sz w:val="24"/>
                      <w:szCs w:val="24"/>
                      <w:lang w:val="en-US" w:eastAsia="zh-CN"/>
                    </w:rPr>
                    <w:t>学生</w:t>
                  </w:r>
                  <w:r>
                    <w:rPr>
                      <w:rFonts w:hint="eastAsia" w:asciiTheme="minorEastAsia" w:hAnsiTheme="minorEastAsia" w:eastAsiaTheme="minorEastAsia" w:cstheme="minorEastAsia"/>
                      <w:sz w:val="24"/>
                      <w:szCs w:val="24"/>
                    </w:rPr>
                    <w:t>问题解决能力。</w:t>
                  </w:r>
                </w:p>
              </w:tc>
              <w:tc>
                <w:tcPr>
                  <w:tcW w:w="2083" w:type="dxa"/>
                  <w:vAlign w:val="center"/>
                </w:tcPr>
                <w:p w14:paraId="7986BF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3D3690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4319DB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1F8522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272557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6EA1F1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23455F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792521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1.涡轮的结构</w:t>
                  </w:r>
                </w:p>
                <w:p w14:paraId="5D4F25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2.涡轮的分类</w:t>
                  </w:r>
                </w:p>
                <w:p w14:paraId="3F8DD0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3.涡轮的作用原理</w:t>
                  </w:r>
                </w:p>
                <w:p w14:paraId="365B7B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4.涡轮的构造认识和维护</w:t>
                  </w:r>
                </w:p>
              </w:tc>
            </w:tr>
            <w:tr w14:paraId="288A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A447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355" w:type="dxa"/>
                  <w:vAlign w:val="center"/>
                </w:tcPr>
                <w:p w14:paraId="3395C8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尾喷管的结构和作用</w:t>
                  </w:r>
                </w:p>
              </w:tc>
              <w:tc>
                <w:tcPr>
                  <w:tcW w:w="2734" w:type="dxa"/>
                  <w:vAlign w:val="center"/>
                </w:tcPr>
                <w:p w14:paraId="4EE884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1.了解尾喷管的作用</w:t>
                  </w:r>
                </w:p>
                <w:p w14:paraId="163C90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2.掌握尾喷管的类型和参数</w:t>
                  </w:r>
                </w:p>
                <w:p w14:paraId="63AD53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3.了解尾喷管的结构</w:t>
                  </w:r>
                </w:p>
              </w:tc>
              <w:tc>
                <w:tcPr>
                  <w:tcW w:w="2633" w:type="dxa"/>
                  <w:vAlign w:val="center"/>
                </w:tcPr>
                <w:p w14:paraId="36A2DD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故障排除演练，明确个人岗位责任。关键时刻顶得上，展现青年担当精神。</w:t>
                  </w:r>
                </w:p>
              </w:tc>
              <w:tc>
                <w:tcPr>
                  <w:tcW w:w="2083" w:type="dxa"/>
                  <w:vAlign w:val="center"/>
                </w:tcPr>
                <w:p w14:paraId="7CDFBB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651DFE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3940CA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04EB15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6F0466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3BF03F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22057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291400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1.尾喷管的结构</w:t>
                  </w:r>
                </w:p>
                <w:p w14:paraId="06CF4A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2.尾喷管的分类</w:t>
                  </w:r>
                </w:p>
                <w:p w14:paraId="782367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3.尾喷管的作用原理</w:t>
                  </w:r>
                </w:p>
                <w:p w14:paraId="7215BA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4.尾喷管的构造认识和维护</w:t>
                  </w:r>
                </w:p>
              </w:tc>
            </w:tr>
            <w:tr w14:paraId="12C3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AB272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55" w:type="dxa"/>
                  <w:vAlign w:val="center"/>
                </w:tcPr>
                <w:p w14:paraId="0DBE17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发动机的推力</w:t>
                  </w:r>
                </w:p>
              </w:tc>
              <w:tc>
                <w:tcPr>
                  <w:tcW w:w="2734" w:type="dxa"/>
                  <w:vAlign w:val="center"/>
                </w:tcPr>
                <w:p w14:paraId="0E781D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1.了解发动机产生推力原理</w:t>
                  </w:r>
                </w:p>
                <w:p w14:paraId="6847DE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2.了解影响发动机推力的要素</w:t>
                  </w:r>
                </w:p>
              </w:tc>
              <w:tc>
                <w:tcPr>
                  <w:tcW w:w="2633" w:type="dxa"/>
                  <w:vAlign w:val="center"/>
                </w:tcPr>
                <w:p w14:paraId="72503E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讲出</w:t>
                  </w:r>
                  <w:r>
                    <w:rPr>
                      <w:rFonts w:hint="eastAsia" w:asciiTheme="minorEastAsia" w:hAnsiTheme="minorEastAsia" w:eastAsiaTheme="minorEastAsia" w:cstheme="minorEastAsia"/>
                      <w:sz w:val="24"/>
                      <w:szCs w:val="24"/>
                    </w:rPr>
                    <w:t>老一辈工匠故事，</w:t>
                  </w:r>
                  <w:r>
                    <w:rPr>
                      <w:rFonts w:hint="eastAsia" w:asciiTheme="minorEastAsia" w:hAnsiTheme="minorEastAsia" w:eastAsiaTheme="minorEastAsia" w:cstheme="minorEastAsia"/>
                      <w:sz w:val="24"/>
                      <w:szCs w:val="24"/>
                      <w:highlight w:val="none"/>
                    </w:rPr>
                    <w:t>赓续</w:t>
                  </w:r>
                  <w:r>
                    <w:rPr>
                      <w:rFonts w:hint="eastAsia" w:asciiTheme="minorEastAsia" w:hAnsiTheme="minorEastAsia" w:eastAsiaTheme="minorEastAsia" w:cstheme="minorEastAsia"/>
                      <w:sz w:val="24"/>
                      <w:szCs w:val="24"/>
                    </w:rPr>
                    <w:t>航空精神血脉。</w:t>
                  </w:r>
                  <w:r>
                    <w:rPr>
                      <w:rFonts w:hint="eastAsia" w:asciiTheme="minorEastAsia" w:hAnsiTheme="minorEastAsia" w:eastAsiaTheme="minorEastAsia" w:cstheme="minorEastAsia"/>
                      <w:sz w:val="24"/>
                      <w:szCs w:val="24"/>
                      <w:lang w:val="en-US" w:eastAsia="zh-CN"/>
                    </w:rPr>
                    <w:t>以</w:t>
                  </w:r>
                  <w:r>
                    <w:rPr>
                      <w:rFonts w:hint="eastAsia" w:asciiTheme="minorEastAsia" w:hAnsiTheme="minorEastAsia" w:eastAsiaTheme="minorEastAsia" w:cstheme="minorEastAsia"/>
                      <w:sz w:val="24"/>
                      <w:szCs w:val="24"/>
                    </w:rPr>
                    <w:t>技术技能传承</w:t>
                  </w:r>
                  <w:r>
                    <w:rPr>
                      <w:rFonts w:hint="eastAsia" w:asciiTheme="minorEastAsia" w:hAnsiTheme="minorEastAsia" w:eastAsiaTheme="minorEastAsia" w:cstheme="minorEastAsia"/>
                      <w:sz w:val="24"/>
                      <w:szCs w:val="24"/>
                      <w:lang w:val="en-US" w:eastAsia="zh-CN"/>
                    </w:rPr>
                    <w:t>为主旋律</w:t>
                  </w:r>
                  <w:r>
                    <w:rPr>
                      <w:rFonts w:hint="eastAsia" w:asciiTheme="minorEastAsia" w:hAnsiTheme="minorEastAsia" w:eastAsiaTheme="minorEastAsia" w:cstheme="minorEastAsia"/>
                      <w:sz w:val="24"/>
                      <w:szCs w:val="24"/>
                    </w:rPr>
                    <w:t>，弘扬行业优良传统。</w:t>
                  </w:r>
                </w:p>
              </w:tc>
              <w:tc>
                <w:tcPr>
                  <w:tcW w:w="2083" w:type="dxa"/>
                  <w:vAlign w:val="center"/>
                </w:tcPr>
                <w:p w14:paraId="0E5107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466BAA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6099E2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2.任务驱动法</w:t>
                  </w:r>
                </w:p>
                <w:p w14:paraId="406749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60A9CA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7E20FB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450CA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260F32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推力</w:t>
                  </w:r>
                  <w:r>
                    <w:rPr>
                      <w:rFonts w:hint="eastAsia" w:asciiTheme="minorEastAsia" w:hAnsiTheme="minorEastAsia" w:eastAsiaTheme="minorEastAsia" w:cstheme="minorEastAsia"/>
                      <w:sz w:val="24"/>
                      <w:szCs w:val="24"/>
                    </w:rPr>
                    <w:t>类型和参数</w:t>
                  </w:r>
                </w:p>
                <w:p w14:paraId="434BE6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2.亚音速进气道</w:t>
                  </w:r>
                </w:p>
                <w:p w14:paraId="3A7F79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3.超音速进气道</w:t>
                  </w:r>
                </w:p>
                <w:p w14:paraId="6EB5EC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4.控制变量认识影响推力大小的因素</w:t>
                  </w:r>
                </w:p>
              </w:tc>
            </w:tr>
            <w:tr w14:paraId="4EB5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7B794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355" w:type="dxa"/>
                  <w:vAlign w:val="center"/>
                </w:tcPr>
                <w:p w14:paraId="3810F8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涡喷和涡扇发动机的性能参数</w:t>
                  </w:r>
                </w:p>
              </w:tc>
              <w:tc>
                <w:tcPr>
                  <w:tcW w:w="2734" w:type="dxa"/>
                  <w:vAlign w:val="center"/>
                </w:tcPr>
                <w:p w14:paraId="65D1FC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1.掌握表征推力的参数</w:t>
                  </w:r>
                </w:p>
                <w:p w14:paraId="209ADE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2.掌握表征经济性的参数</w:t>
                  </w:r>
                </w:p>
                <w:p w14:paraId="1A7B73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3.掌握基本航空维修中基本的安全防范意识</w:t>
                  </w:r>
                </w:p>
              </w:tc>
              <w:tc>
                <w:tcPr>
                  <w:tcW w:w="2633" w:type="dxa"/>
                  <w:vAlign w:val="center"/>
                </w:tcPr>
                <w:p w14:paraId="4108E4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对比国际标准，拓宽技术认知边界。参与全球竞争，树立开放合作意识。</w:t>
                  </w:r>
                </w:p>
              </w:tc>
              <w:tc>
                <w:tcPr>
                  <w:tcW w:w="2083" w:type="dxa"/>
                  <w:vAlign w:val="center"/>
                </w:tcPr>
                <w:p w14:paraId="54A118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658206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3CD5CD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3CC81F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208DF7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7F132D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93BC0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37892C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highlight w:val="none"/>
                    </w:rPr>
                    <w:t>.转速n、发动机压力比EPR；</w:t>
                  </w:r>
                </w:p>
                <w:p w14:paraId="3CBFF1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2.热效率、推进效率、发动机总效率</w:t>
                  </w:r>
                </w:p>
              </w:tc>
            </w:tr>
            <w:tr w14:paraId="1B93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F794C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355" w:type="dxa"/>
                  <w:vAlign w:val="center"/>
                </w:tcPr>
                <w:p w14:paraId="02EAB4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单、双、三转子发动机的特点和共同工作</w:t>
                  </w:r>
                </w:p>
              </w:tc>
              <w:tc>
                <w:tcPr>
                  <w:tcW w:w="2734" w:type="dxa"/>
                  <w:vAlign w:val="center"/>
                </w:tcPr>
                <w:p w14:paraId="54E6C3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1.掌握单转子发动机的共同工作</w:t>
                  </w:r>
                </w:p>
                <w:p w14:paraId="5E0D0D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2.掌握双转子发动机的工作原理</w:t>
                  </w:r>
                </w:p>
                <w:p w14:paraId="0B938C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3.了解三转子发动机的工作原理</w:t>
                  </w:r>
                </w:p>
                <w:p w14:paraId="7C135E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4.掌握基本航空维修中基本的严谨创新精神</w:t>
                  </w:r>
                </w:p>
              </w:tc>
              <w:tc>
                <w:tcPr>
                  <w:tcW w:w="2633" w:type="dxa"/>
                  <w:vAlign w:val="center"/>
                </w:tcPr>
                <w:p w14:paraId="21B63C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描述</w:t>
                  </w:r>
                  <w:r>
                    <w:rPr>
                      <w:rFonts w:hint="eastAsia" w:asciiTheme="minorEastAsia" w:hAnsiTheme="minorEastAsia" w:eastAsiaTheme="minorEastAsia" w:cstheme="minorEastAsia"/>
                      <w:sz w:val="24"/>
                      <w:szCs w:val="24"/>
                    </w:rPr>
                    <w:t>高温环境作业，锤炼吃苦耐劳品质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培养坚韧不拔意志。</w:t>
                  </w:r>
                </w:p>
              </w:tc>
              <w:tc>
                <w:tcPr>
                  <w:tcW w:w="2083" w:type="dxa"/>
                  <w:vAlign w:val="center"/>
                </w:tcPr>
                <w:p w14:paraId="708BBE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048A4A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25AF2E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3931C1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4593BEB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3A6418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B4CDA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1BD9AC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1.发动机稳态、过渡态下的共同工作；</w:t>
                  </w:r>
                </w:p>
                <w:p w14:paraId="2E95FF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2.单转子发动机的工作特点</w:t>
                  </w:r>
                </w:p>
                <w:p w14:paraId="66893F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3.单转子涡喷发动机的特性</w:t>
                  </w:r>
                </w:p>
              </w:tc>
            </w:tr>
            <w:tr w14:paraId="6B1D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0E57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355" w:type="dxa"/>
                  <w:vAlign w:val="center"/>
                </w:tcPr>
                <w:p w14:paraId="2E6A32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涡轮风扇发动机总体构造及工作原理</w:t>
                  </w:r>
                </w:p>
              </w:tc>
              <w:tc>
                <w:tcPr>
                  <w:tcW w:w="2734" w:type="dxa"/>
                  <w:vAlign w:val="center"/>
                </w:tcPr>
                <w:p w14:paraId="608E8D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1.掌握涡扇发动机的特点</w:t>
                  </w:r>
                </w:p>
                <w:p w14:paraId="0622CB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2.掌握质量附加原理</w:t>
                  </w:r>
                </w:p>
                <w:p w14:paraId="6EAED6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3.了解涡扇发动机的特性</w:t>
                  </w:r>
                </w:p>
              </w:tc>
              <w:tc>
                <w:tcPr>
                  <w:tcW w:w="2633" w:type="dxa"/>
                  <w:vAlign w:val="center"/>
                </w:tcPr>
                <w:p w14:paraId="6D253C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加强</w:t>
                  </w:r>
                  <w:r>
                    <w:rPr>
                      <w:rFonts w:hint="eastAsia" w:asciiTheme="minorEastAsia" w:hAnsiTheme="minorEastAsia" w:eastAsiaTheme="minorEastAsia" w:cstheme="minorEastAsia"/>
                      <w:sz w:val="24"/>
                      <w:szCs w:val="24"/>
                    </w:rPr>
                    <w:t>维修质量反馈，提升</w:t>
                  </w:r>
                  <w:r>
                    <w:rPr>
                      <w:rFonts w:hint="eastAsia" w:asciiTheme="minorEastAsia" w:hAnsiTheme="minorEastAsia" w:eastAsiaTheme="minorEastAsia" w:cstheme="minorEastAsia"/>
                      <w:sz w:val="24"/>
                      <w:szCs w:val="24"/>
                      <w:lang w:val="en-US" w:eastAsia="zh-CN"/>
                    </w:rPr>
                    <w:t>学生工作严谨创新精神</w:t>
                  </w:r>
                  <w:r>
                    <w:rPr>
                      <w:rFonts w:hint="eastAsia" w:asciiTheme="minorEastAsia" w:hAnsiTheme="minorEastAsia" w:eastAsiaTheme="minorEastAsia" w:cstheme="minorEastAsia"/>
                      <w:sz w:val="24"/>
                      <w:szCs w:val="24"/>
                    </w:rPr>
                    <w:t>。</w:t>
                  </w:r>
                </w:p>
              </w:tc>
              <w:tc>
                <w:tcPr>
                  <w:tcW w:w="2083" w:type="dxa"/>
                  <w:vAlign w:val="center"/>
                </w:tcPr>
                <w:p w14:paraId="5AC261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28F0CD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059D5A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38C14A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7FC517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2A9C26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4D3887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2C722D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1.涡扇发动机的构造特点和工作特点；</w:t>
                  </w:r>
                </w:p>
                <w:p w14:paraId="4F15D1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2.质量附加原理的定义和证明</w:t>
                  </w:r>
                </w:p>
              </w:tc>
            </w:tr>
            <w:tr w14:paraId="72AE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05296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355" w:type="dxa"/>
                  <w:vAlign w:val="center"/>
                </w:tcPr>
                <w:p w14:paraId="7C421C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涡轮螺旋桨发动机总体构造认知</w:t>
                  </w:r>
                </w:p>
              </w:tc>
              <w:tc>
                <w:tcPr>
                  <w:tcW w:w="2734" w:type="dxa"/>
                  <w:vAlign w:val="center"/>
                </w:tcPr>
                <w:p w14:paraId="16826D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1.掌握涡桨发动机的特点</w:t>
                  </w:r>
                </w:p>
                <w:p w14:paraId="55DA34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2.了解涡桨发动机的主要性能参数</w:t>
                  </w:r>
                </w:p>
              </w:tc>
              <w:tc>
                <w:tcPr>
                  <w:tcW w:w="2633" w:type="dxa"/>
                  <w:vAlign w:val="center"/>
                </w:tcPr>
                <w:p w14:paraId="7C6292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维修数据保密，严守职业操守底线。信息安全意识，防范技术泄露风险。</w:t>
                  </w:r>
                </w:p>
              </w:tc>
              <w:tc>
                <w:tcPr>
                  <w:tcW w:w="2083" w:type="dxa"/>
                  <w:vAlign w:val="center"/>
                </w:tcPr>
                <w:p w14:paraId="517EBA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3EBCD4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77CDEC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2C6FD2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54032D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0284DE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41136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6B0B51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1.涡桨发动机的构造特点和工作特点；</w:t>
                  </w:r>
                </w:p>
                <w:p w14:paraId="35F63C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2.当量轴功率(ESHP)Nequ；</w:t>
                  </w:r>
                </w:p>
              </w:tc>
            </w:tr>
            <w:tr w14:paraId="3D6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E9A59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355" w:type="dxa"/>
                  <w:vAlign w:val="center"/>
                </w:tcPr>
                <w:p w14:paraId="5F15A3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涡轮轴发动机总体构造认知</w:t>
                  </w:r>
                </w:p>
              </w:tc>
              <w:tc>
                <w:tcPr>
                  <w:tcW w:w="2734" w:type="dxa"/>
                  <w:vAlign w:val="center"/>
                </w:tcPr>
                <w:p w14:paraId="15AF34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1.掌握轴承、封严和传动系统的作用、组成、工作原理及结构形式；</w:t>
                  </w:r>
                </w:p>
              </w:tc>
              <w:tc>
                <w:tcPr>
                  <w:tcW w:w="2633" w:type="dxa"/>
                  <w:vAlign w:val="center"/>
                </w:tcPr>
                <w:p w14:paraId="699A4F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发动机故障模拟，感悟生命脆弱珍贵。</w:t>
                  </w:r>
                </w:p>
                <w:p w14:paraId="29C5EC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每一次维修，都是对生命的敬畏。</w:t>
                  </w:r>
                </w:p>
              </w:tc>
              <w:tc>
                <w:tcPr>
                  <w:tcW w:w="2083" w:type="dxa"/>
                  <w:vAlign w:val="center"/>
                </w:tcPr>
                <w:p w14:paraId="466878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004FD2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5DD6DA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0F5B37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779235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4B283F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639F70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3BB03A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涡轴发动机的基本组成及工作</w:t>
                  </w:r>
                </w:p>
                <w:p w14:paraId="3D5E6F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涡轴发动机的工作特点</w:t>
                  </w:r>
                </w:p>
                <w:p w14:paraId="33138C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p>
              </w:tc>
            </w:tr>
            <w:tr w14:paraId="70DB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01500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355" w:type="dxa"/>
                  <w:vAlign w:val="center"/>
                </w:tcPr>
                <w:p w14:paraId="72C589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轴承系统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10E42A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1.掌握轴承系统的作用、组成、工作原理及结构形式；</w:t>
                  </w:r>
                </w:p>
              </w:tc>
              <w:tc>
                <w:tcPr>
                  <w:tcW w:w="2633" w:type="dxa"/>
                  <w:vAlign w:val="center"/>
                </w:tcPr>
                <w:p w14:paraId="2D4ACA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“三不原则”实践，构建质量管理体系。</w:t>
                  </w:r>
                </w:p>
                <w:p w14:paraId="5014A6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全员质量参与，培育零缺陷文化。</w:t>
                  </w:r>
                </w:p>
              </w:tc>
              <w:tc>
                <w:tcPr>
                  <w:tcW w:w="2083" w:type="dxa"/>
                  <w:vAlign w:val="center"/>
                </w:tcPr>
                <w:p w14:paraId="019517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334B9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49EFFD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50291D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6FC814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0A325F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1E39A0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021991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1.轴承系统的作用</w:t>
                  </w:r>
                </w:p>
                <w:p w14:paraId="29309D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2.轴承系统的组成</w:t>
                  </w:r>
                </w:p>
                <w:p w14:paraId="707175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3.轴承系统的分类</w:t>
                  </w:r>
                </w:p>
                <w:p w14:paraId="70477A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4.轴承系统工作原理</w:t>
                  </w:r>
                </w:p>
              </w:tc>
            </w:tr>
            <w:tr w14:paraId="24F5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vAlign w:val="center"/>
                </w:tcPr>
                <w:p w14:paraId="619749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355" w:type="dxa"/>
                  <w:vAlign w:val="center"/>
                </w:tcPr>
                <w:p w14:paraId="42FC0A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封严系统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33893D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1.掌握封严系统的作用、组成、工作原理及结构形式；</w:t>
                  </w:r>
                </w:p>
              </w:tc>
              <w:tc>
                <w:tcPr>
                  <w:tcW w:w="2633" w:type="dxa"/>
                  <w:vAlign w:val="center"/>
                </w:tcPr>
                <w:p w14:paraId="64CEBC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工位5S管理，养成规范作业习惯。迟到早退警示，强化时间观念教育。</w:t>
                  </w:r>
                </w:p>
              </w:tc>
              <w:tc>
                <w:tcPr>
                  <w:tcW w:w="2083" w:type="dxa"/>
                  <w:vAlign w:val="center"/>
                </w:tcPr>
                <w:p w14:paraId="7F5F75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75F60C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55E885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513C37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6A1D95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47713B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2808B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3FD54B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1.封严系统的作用</w:t>
                  </w:r>
                </w:p>
                <w:p w14:paraId="01945D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2.封严系统的组成</w:t>
                  </w:r>
                </w:p>
                <w:p w14:paraId="333FA7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3.封严系统的分类</w:t>
                  </w:r>
                </w:p>
                <w:p w14:paraId="606DF5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4.封严系统工作原理</w:t>
                  </w:r>
                </w:p>
              </w:tc>
            </w:tr>
            <w:tr w14:paraId="513B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FAB6D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1355" w:type="dxa"/>
                  <w:vAlign w:val="center"/>
                </w:tcPr>
                <w:p w14:paraId="139120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传动系统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6831BA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1.掌握传动系统的作用、组成、工作原理及结构形式；</w:t>
                  </w:r>
                </w:p>
              </w:tc>
              <w:tc>
                <w:tcPr>
                  <w:tcW w:w="2633" w:type="dxa"/>
                  <w:vAlign w:val="center"/>
                </w:tcPr>
                <w:p w14:paraId="3E96C4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引入</w:t>
                  </w:r>
                  <w:r>
                    <w:rPr>
                      <w:rFonts w:hint="eastAsia" w:asciiTheme="minorEastAsia" w:hAnsiTheme="minorEastAsia" w:eastAsiaTheme="minorEastAsia" w:cstheme="minorEastAsia"/>
                      <w:sz w:val="24"/>
                      <w:szCs w:val="24"/>
                    </w:rPr>
                    <w:t>军用发动机维修</w:t>
                  </w:r>
                  <w:r>
                    <w:rPr>
                      <w:rFonts w:hint="eastAsia" w:asciiTheme="minorEastAsia" w:hAnsiTheme="minorEastAsia" w:eastAsiaTheme="minorEastAsia" w:cstheme="minorEastAsia"/>
                      <w:sz w:val="24"/>
                      <w:szCs w:val="24"/>
                      <w:lang w:val="en-US" w:eastAsia="zh-CN"/>
                    </w:rPr>
                    <w:t>案例</w:t>
                  </w:r>
                  <w:r>
                    <w:rPr>
                      <w:rFonts w:hint="eastAsia" w:asciiTheme="minorEastAsia" w:hAnsiTheme="minorEastAsia" w:eastAsiaTheme="minorEastAsia" w:cstheme="minorEastAsia"/>
                      <w:sz w:val="24"/>
                      <w:szCs w:val="24"/>
                    </w:rPr>
                    <w:t>，守护国家空天安全。技术报国之路，实现个人价值追求。</w:t>
                  </w:r>
                </w:p>
              </w:tc>
              <w:tc>
                <w:tcPr>
                  <w:tcW w:w="2083" w:type="dxa"/>
                  <w:vAlign w:val="center"/>
                </w:tcPr>
                <w:p w14:paraId="64B543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120C5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71298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655EEE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7BD627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768397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137EDB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6AA062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1.传动系统的作用</w:t>
                  </w:r>
                </w:p>
                <w:p w14:paraId="61A845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2.传动系统的组成</w:t>
                  </w:r>
                </w:p>
                <w:p w14:paraId="4203CC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3.传动系统的分类</w:t>
                  </w:r>
                </w:p>
                <w:p w14:paraId="5FEE7E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4.传动系统工作原理</w:t>
                  </w:r>
                </w:p>
              </w:tc>
            </w:tr>
            <w:tr w14:paraId="1748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E0BFA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355" w:type="dxa"/>
                  <w:vAlign w:val="center"/>
                </w:tcPr>
                <w:p w14:paraId="1FCD75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燃油控制系统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54911C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1.掌握燃油控制系统的功用、组成</w:t>
                  </w:r>
                </w:p>
                <w:p w14:paraId="504D5D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2.掌握燃油控制系统主要零件的检修方法</w:t>
                  </w:r>
                </w:p>
                <w:p w14:paraId="770552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3.了解燃油控制系统的拆装与调整方法</w:t>
                  </w:r>
                </w:p>
                <w:p w14:paraId="593153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4.掌握基本航空维修中基本的严谨创新精神</w:t>
                  </w:r>
                </w:p>
              </w:tc>
              <w:tc>
                <w:tcPr>
                  <w:tcW w:w="2633" w:type="dxa"/>
                  <w:vAlign w:val="center"/>
                </w:tcPr>
                <w:p w14:paraId="691F89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故障树分析法，培养逻辑推理能力。技术方案辩论，提升辩证思考水平。</w:t>
                  </w:r>
                </w:p>
              </w:tc>
              <w:tc>
                <w:tcPr>
                  <w:tcW w:w="2083" w:type="dxa"/>
                  <w:vAlign w:val="center"/>
                </w:tcPr>
                <w:p w14:paraId="402B46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1E4C11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7834F9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363E4C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6659F6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03016B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02498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3D8A02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1.燃油控制系统功用、组成及零件构造；</w:t>
                  </w:r>
                </w:p>
                <w:p w14:paraId="7CB7F3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2.燃油控制系统的拆装与检修</w:t>
                  </w:r>
                </w:p>
              </w:tc>
            </w:tr>
            <w:tr w14:paraId="0E7F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DD78D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355" w:type="dxa"/>
                  <w:vAlign w:val="center"/>
                </w:tcPr>
                <w:p w14:paraId="558FAE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启动系统总体</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6AAAE1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1.掌握启动系统的作用、组成、工作原理及结构形式</w:t>
                  </w:r>
                </w:p>
              </w:tc>
              <w:tc>
                <w:tcPr>
                  <w:tcW w:w="2633" w:type="dxa"/>
                  <w:vAlign w:val="center"/>
                </w:tcPr>
                <w:p w14:paraId="5E3134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低碳维修技术，助力全球气候治理。航空减排贡献，展现中国行业担当。</w:t>
                  </w:r>
                </w:p>
              </w:tc>
              <w:tc>
                <w:tcPr>
                  <w:tcW w:w="2083" w:type="dxa"/>
                  <w:vAlign w:val="center"/>
                </w:tcPr>
                <w:p w14:paraId="485886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7BAB76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51C062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60E2E6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45FE84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047C2D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37DF0B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6530C6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1.启动系统的作用</w:t>
                  </w:r>
                </w:p>
                <w:p w14:paraId="5EE481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2.启动系统的组成</w:t>
                  </w:r>
                </w:p>
                <w:p w14:paraId="4E9588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3.启动系统的分类</w:t>
                  </w:r>
                </w:p>
                <w:p w14:paraId="1C288F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4.启动系统工作原理</w:t>
                  </w:r>
                </w:p>
              </w:tc>
            </w:tr>
            <w:tr w14:paraId="325B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1EC9F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355" w:type="dxa"/>
                  <w:vAlign w:val="center"/>
                </w:tcPr>
                <w:p w14:paraId="0FB0BB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空气系统总体</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2058E0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1.掌握空气系统的功用、组成；</w:t>
                  </w:r>
                </w:p>
                <w:p w14:paraId="719639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2.掌握空气系统主要零件的检修方法</w:t>
                  </w:r>
                </w:p>
                <w:p w14:paraId="2CA473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3.了解空气系统的拆装与调整方法</w:t>
                  </w:r>
                </w:p>
              </w:tc>
              <w:tc>
                <w:tcPr>
                  <w:tcW w:w="2633" w:type="dxa"/>
                  <w:vAlign w:val="center"/>
                </w:tcPr>
                <w:p w14:paraId="7E8D25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传统修理技艺，结合现代科技升级。在继承中突破，在创新中发展。</w:t>
                  </w:r>
                </w:p>
              </w:tc>
              <w:tc>
                <w:tcPr>
                  <w:tcW w:w="2083" w:type="dxa"/>
                  <w:vAlign w:val="center"/>
                </w:tcPr>
                <w:p w14:paraId="15861C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08F6DA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5B2675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407AB3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2B6C55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7B6589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7395C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54209C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1.空气系统功用、组成及零件构造；</w:t>
                  </w:r>
                </w:p>
                <w:p w14:paraId="32265F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2.空气系统的拆装与检修</w:t>
                  </w:r>
                </w:p>
              </w:tc>
            </w:tr>
            <w:tr w14:paraId="6DE1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DFD94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355" w:type="dxa"/>
                  <w:vAlign w:val="center"/>
                </w:tcPr>
                <w:p w14:paraId="5E1DC8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发动机操纵系统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080FC5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1.掌握发动机操纵系统的功用</w:t>
                  </w:r>
                </w:p>
                <w:p w14:paraId="178824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2.掌握发动机操纵系统的功能</w:t>
                  </w:r>
                </w:p>
                <w:p w14:paraId="0310C3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3.了解发动机操纵系统的基本组成与工作原理</w:t>
                  </w:r>
                </w:p>
                <w:p w14:paraId="78737A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4.掌握基本航空维修中基本的严谨创新精神</w:t>
                  </w:r>
                </w:p>
              </w:tc>
              <w:tc>
                <w:tcPr>
                  <w:tcW w:w="2633" w:type="dxa"/>
                  <w:vAlign w:val="center"/>
                </w:tcPr>
                <w:p w14:paraId="63FEB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技能大赛获奖，彰显技术工人价值。劳动创造幸福，树立职业荣誉感。</w:t>
                  </w:r>
                </w:p>
              </w:tc>
              <w:tc>
                <w:tcPr>
                  <w:tcW w:w="2083" w:type="dxa"/>
                  <w:vAlign w:val="center"/>
                </w:tcPr>
                <w:p w14:paraId="131DBF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0A47F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56299A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602058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531802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4B9D414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BC582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70E20C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1.可燃混合气的形成与燃烧过程</w:t>
                  </w:r>
                </w:p>
                <w:p w14:paraId="4CD84A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2.涡轮发动机燃料供给系的功用、基本组成和工作原理</w:t>
                  </w:r>
                </w:p>
              </w:tc>
            </w:tr>
            <w:tr w14:paraId="1F7A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C803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355" w:type="dxa"/>
                  <w:vAlign w:val="center"/>
                </w:tcPr>
                <w:p w14:paraId="2E7750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发动机指示系统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5C4AD9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1.了解发动机指示系统主要零件的构造和工作原理</w:t>
                  </w:r>
                </w:p>
                <w:p w14:paraId="17342E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2.掌握发动机指示系统主要零件的检修方法</w:t>
                  </w:r>
                </w:p>
              </w:tc>
              <w:tc>
                <w:tcPr>
                  <w:tcW w:w="2633" w:type="dxa"/>
                  <w:vAlign w:val="center"/>
                </w:tcPr>
                <w:p w14:paraId="5142A0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危险源辨识演练，提高安全预判能力。</w:t>
                  </w:r>
                </w:p>
                <w:p w14:paraId="64FE29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应急预案制定，强化风险防控思维。</w:t>
                  </w:r>
                </w:p>
              </w:tc>
              <w:tc>
                <w:tcPr>
                  <w:tcW w:w="2083" w:type="dxa"/>
                  <w:vAlign w:val="center"/>
                </w:tcPr>
                <w:p w14:paraId="4888D6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7A3B3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7BCA02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28FEC5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7A5DDE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7F5ADA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55716E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79C6EC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1.发动机指示系统主要零件的构造和工作原理</w:t>
                  </w:r>
                </w:p>
                <w:p w14:paraId="1E3D96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2.发动机指示系统主要零件检查与维修</w:t>
                  </w:r>
                </w:p>
              </w:tc>
            </w:tr>
            <w:tr w14:paraId="6356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8D5C7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1355" w:type="dxa"/>
                  <w:vAlign w:val="center"/>
                </w:tcPr>
                <w:p w14:paraId="79CB7D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发动机反推系统</w:t>
                  </w:r>
                  <w:r>
                    <w:rPr>
                      <w:rFonts w:hint="eastAsia" w:asciiTheme="minorEastAsia" w:hAnsiTheme="minorEastAsia" w:eastAsiaTheme="minorEastAsia" w:cstheme="minorEastAsia"/>
                      <w:sz w:val="24"/>
                      <w:szCs w:val="24"/>
                      <w:lang w:val="en-US" w:eastAsia="zh-CN"/>
                    </w:rPr>
                    <w:t>实训</w:t>
                  </w:r>
                </w:p>
              </w:tc>
              <w:tc>
                <w:tcPr>
                  <w:tcW w:w="2734" w:type="dxa"/>
                  <w:vAlign w:val="center"/>
                </w:tcPr>
                <w:p w14:paraId="405BE1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1.掌握发动机反推系统的功用与组成</w:t>
                  </w:r>
                </w:p>
                <w:p w14:paraId="662781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2.掌握发动机滑油和反推系统的工作原理</w:t>
                  </w:r>
                </w:p>
                <w:p w14:paraId="3E6F61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3.掌握基本航空维修中基本的安全防范意识</w:t>
                  </w:r>
                </w:p>
              </w:tc>
              <w:tc>
                <w:tcPr>
                  <w:tcW w:w="2633" w:type="dxa"/>
                  <w:vAlign w:val="center"/>
                </w:tcPr>
                <w:p w14:paraId="29B5AB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维修环境优化，关注员工身心健康。</w:t>
                  </w:r>
                </w:p>
                <w:p w14:paraId="3B4C23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技术温度传递，践行以人为本理念。</w:t>
                  </w:r>
                </w:p>
              </w:tc>
              <w:tc>
                <w:tcPr>
                  <w:tcW w:w="2083" w:type="dxa"/>
                  <w:vAlign w:val="center"/>
                </w:tcPr>
                <w:p w14:paraId="006828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328B0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4D7F2D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3B5BA2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521BF8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7BBA0A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6E12D1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163674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1.发动机反推系统的组成与分类</w:t>
                  </w:r>
                </w:p>
                <w:p w14:paraId="6008AB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2.发动机反推系统的工作原理</w:t>
                  </w:r>
                </w:p>
                <w:p w14:paraId="1A66AB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3.发动机反推系统检修实训</w:t>
                  </w:r>
                </w:p>
              </w:tc>
            </w:tr>
            <w:tr w14:paraId="2B90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C8D64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1355" w:type="dxa"/>
                  <w:vAlign w:val="center"/>
                </w:tcPr>
                <w:p w14:paraId="4271D4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发动机滑油系统总体构造认知</w:t>
                  </w:r>
                </w:p>
              </w:tc>
              <w:tc>
                <w:tcPr>
                  <w:tcW w:w="2734" w:type="dxa"/>
                  <w:vAlign w:val="center"/>
                </w:tcPr>
                <w:p w14:paraId="6A3620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1.掌握发动机滑油系统的功用与组成</w:t>
                  </w:r>
                </w:p>
                <w:p w14:paraId="23C445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2.掌握发动机滑油系统的工作原理</w:t>
                  </w:r>
                </w:p>
                <w:p w14:paraId="10DB15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3.掌握基本航空维修中基本的安全防范意识</w:t>
                  </w:r>
                </w:p>
              </w:tc>
              <w:tc>
                <w:tcPr>
                  <w:tcW w:w="2633" w:type="dxa"/>
                  <w:vAlign w:val="center"/>
                </w:tcPr>
                <w:p w14:paraId="31C29F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新型发动机技术，保持知识更新速度。</w:t>
                  </w:r>
                </w:p>
                <w:p w14:paraId="2D7307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行业前沿追踪，培养持续学习能力。</w:t>
                  </w:r>
                </w:p>
              </w:tc>
              <w:tc>
                <w:tcPr>
                  <w:tcW w:w="2083" w:type="dxa"/>
                  <w:vAlign w:val="center"/>
                </w:tcPr>
                <w:p w14:paraId="60C1F7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60EA74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6F0EC9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01CD42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535DD1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539B0D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B3D5D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3D9DA1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1.发动机滑油系统的 组成与分类</w:t>
                  </w:r>
                </w:p>
                <w:p w14:paraId="61AB3C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2.发动机滑油系统的 工作原理</w:t>
                  </w:r>
                </w:p>
                <w:p w14:paraId="581D22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3.发动机滑油系统检修实训</w:t>
                  </w:r>
                </w:p>
              </w:tc>
            </w:tr>
            <w:tr w14:paraId="582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AFA09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1355" w:type="dxa"/>
                  <w:vAlign w:val="center"/>
                </w:tcPr>
                <w:p w14:paraId="050A3D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发动机地面维护概述</w:t>
                  </w:r>
                </w:p>
              </w:tc>
              <w:tc>
                <w:tcPr>
                  <w:tcW w:w="2734" w:type="dxa"/>
                  <w:vAlign w:val="center"/>
                </w:tcPr>
                <w:p w14:paraId="0C3D28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1.了解发动机地面维护概述、地面维护基本内容</w:t>
                  </w:r>
                </w:p>
                <w:p w14:paraId="4A4EBD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2.掌握发动机维修工具、记录、储存和运输</w:t>
                  </w:r>
                </w:p>
              </w:tc>
              <w:tc>
                <w:tcPr>
                  <w:tcW w:w="2633" w:type="dxa"/>
                  <w:vAlign w:val="center"/>
                </w:tcPr>
                <w:p w14:paraId="1409E6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维修任务优先级，统筹全局工作效率。</w:t>
                  </w:r>
                </w:p>
                <w:p w14:paraId="26BD06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个人利益服从，集体目标实现。</w:t>
                  </w:r>
                </w:p>
              </w:tc>
              <w:tc>
                <w:tcPr>
                  <w:tcW w:w="2083" w:type="dxa"/>
                  <w:vAlign w:val="center"/>
                </w:tcPr>
                <w:p w14:paraId="48C267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B36F0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3567F6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1E61B2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25E020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096382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68DCA1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2.视频、实物等</w:t>
                  </w:r>
                </w:p>
              </w:tc>
              <w:tc>
                <w:tcPr>
                  <w:tcW w:w="2484" w:type="dxa"/>
                  <w:vAlign w:val="center"/>
                </w:tcPr>
                <w:p w14:paraId="212645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1.飞机发动机的构造、功用、组成</w:t>
                  </w:r>
                </w:p>
                <w:p w14:paraId="6E0788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2.飞机发动机的</w:t>
                  </w:r>
                  <w:r>
                    <w:rPr>
                      <w:rFonts w:hint="eastAsia" w:asciiTheme="minorEastAsia" w:hAnsiTheme="minorEastAsia" w:eastAsiaTheme="minorEastAsia" w:cstheme="minorEastAsia"/>
                      <w:sz w:val="24"/>
                      <w:szCs w:val="24"/>
                      <w:lang w:val="en-US" w:eastAsia="zh-CN"/>
                    </w:rPr>
                    <w:t>维护</w:t>
                  </w:r>
                  <w:r>
                    <w:rPr>
                      <w:rFonts w:hint="eastAsia" w:asciiTheme="minorEastAsia" w:hAnsiTheme="minorEastAsia" w:eastAsiaTheme="minorEastAsia" w:cstheme="minorEastAsia"/>
                      <w:sz w:val="24"/>
                      <w:szCs w:val="24"/>
                    </w:rPr>
                    <w:t>原理</w:t>
                  </w:r>
                </w:p>
              </w:tc>
            </w:tr>
            <w:tr w14:paraId="3C6F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99" w:type="dxa"/>
                  <w:vAlign w:val="center"/>
                </w:tcPr>
                <w:p w14:paraId="201ED0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1355" w:type="dxa"/>
                  <w:vAlign w:val="center"/>
                </w:tcPr>
                <w:p w14:paraId="579E03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发动机维护基本内容</w:t>
                  </w:r>
                </w:p>
              </w:tc>
              <w:tc>
                <w:tcPr>
                  <w:tcW w:w="2734" w:type="dxa"/>
                  <w:vAlign w:val="center"/>
                </w:tcPr>
                <w:p w14:paraId="05F5AD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1.掌握系统维护注意事项、发动机换发、发动机地面调试</w:t>
                  </w:r>
                </w:p>
                <w:p w14:paraId="3B4C82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2.掌握冷却系常见故障进行诊断与排除知识</w:t>
                  </w:r>
                </w:p>
              </w:tc>
              <w:tc>
                <w:tcPr>
                  <w:tcW w:w="2633" w:type="dxa"/>
                  <w:vAlign w:val="center"/>
                </w:tcPr>
                <w:p w14:paraId="3B807B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技术封锁突破，敢于迎难而上挑战。</w:t>
                  </w:r>
                </w:p>
                <w:p w14:paraId="55CBC1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自主创新道路，展现不屈不挠品格。</w:t>
                  </w:r>
                </w:p>
              </w:tc>
              <w:tc>
                <w:tcPr>
                  <w:tcW w:w="2083" w:type="dxa"/>
                  <w:vAlign w:val="center"/>
                </w:tcPr>
                <w:p w14:paraId="3A4C6E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304A9F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1BBCBD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203472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1511CF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189B07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07C264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79F5D8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1.发动机的检修、维护；</w:t>
                  </w:r>
                </w:p>
                <w:p w14:paraId="505473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2.发动机常见故障诊断；</w:t>
                  </w:r>
                </w:p>
                <w:p w14:paraId="7D2CB3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3.发动机的检查与维护实训</w:t>
                  </w:r>
                </w:p>
              </w:tc>
            </w:tr>
            <w:tr w14:paraId="715C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872B6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1355" w:type="dxa"/>
                  <w:vAlign w:val="center"/>
                </w:tcPr>
                <w:p w14:paraId="521009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发动机辅助动力装置总体的构造</w:t>
                  </w:r>
                </w:p>
              </w:tc>
              <w:tc>
                <w:tcPr>
                  <w:tcW w:w="2734" w:type="dxa"/>
                  <w:vAlign w:val="center"/>
                </w:tcPr>
                <w:p w14:paraId="1AB4FB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1.了解发动机辅助动力装置的功用、类型；</w:t>
                  </w:r>
                </w:p>
                <w:p w14:paraId="3F3936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p>
              </w:tc>
              <w:tc>
                <w:tcPr>
                  <w:tcW w:w="2633" w:type="dxa"/>
                  <w:vAlign w:val="center"/>
                </w:tcPr>
                <w:p w14:paraId="5C787C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发动机结构解析，感受工业设计之美。</w:t>
                  </w:r>
                </w:p>
                <w:p w14:paraId="567C7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技术艺术融合，提升审美鉴赏能力。</w:t>
                  </w:r>
                </w:p>
              </w:tc>
              <w:tc>
                <w:tcPr>
                  <w:tcW w:w="2083" w:type="dxa"/>
                  <w:vAlign w:val="center"/>
                </w:tcPr>
                <w:p w14:paraId="4EED5D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1C2540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5C6DC9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3CA2F7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2B7145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5D782A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109855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2.视频、实物等</w:t>
                  </w:r>
                </w:p>
              </w:tc>
              <w:tc>
                <w:tcPr>
                  <w:tcW w:w="2484" w:type="dxa"/>
                  <w:vAlign w:val="center"/>
                </w:tcPr>
                <w:p w14:paraId="6CF8C6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1.发动机辅助动力装置的构造、功用、组成</w:t>
                  </w:r>
                </w:p>
                <w:p w14:paraId="70CB82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val="en-US" w:eastAsia="zh-CN"/>
                    </w:rPr>
                  </w:pPr>
                </w:p>
              </w:tc>
            </w:tr>
            <w:tr w14:paraId="4DDF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12EFA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355" w:type="dxa"/>
                  <w:vAlign w:val="center"/>
                </w:tcPr>
                <w:p w14:paraId="079C15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发动机辅助动力装置的工作原理</w:t>
                  </w:r>
                </w:p>
              </w:tc>
              <w:tc>
                <w:tcPr>
                  <w:tcW w:w="2734" w:type="dxa"/>
                  <w:vAlign w:val="center"/>
                </w:tcPr>
                <w:p w14:paraId="5DE1B5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1.了解发动机辅助动力装置的工作原理；</w:t>
                  </w:r>
                </w:p>
                <w:p w14:paraId="39D454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2.掌握发动机辅助动力装置基本组成和循环路线；</w:t>
                  </w:r>
                </w:p>
                <w:p w14:paraId="162AC2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3.掌握基本航空维修中基本的安全防范意识</w:t>
                  </w:r>
                </w:p>
              </w:tc>
              <w:tc>
                <w:tcPr>
                  <w:tcW w:w="2633" w:type="dxa"/>
                  <w:vAlign w:val="center"/>
                </w:tcPr>
                <w:p w14:paraId="2CFD14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军用技术民用，促进科技成果转化。航空造福人类，践行和平发展道路。</w:t>
                  </w:r>
                </w:p>
              </w:tc>
              <w:tc>
                <w:tcPr>
                  <w:tcW w:w="2083" w:type="dxa"/>
                  <w:vAlign w:val="center"/>
                </w:tcPr>
                <w:p w14:paraId="397C58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①教学（训练）方法：</w:t>
                  </w:r>
                </w:p>
                <w:p w14:paraId="5D12B2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1.直观演示法</w:t>
                  </w:r>
                </w:p>
                <w:p w14:paraId="022FCB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2.读书指导法</w:t>
                  </w:r>
                </w:p>
                <w:p w14:paraId="449F70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3.团队工作法</w:t>
                  </w:r>
                </w:p>
                <w:p w14:paraId="0CF84C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②教学（训练）手段：</w:t>
                  </w:r>
                </w:p>
                <w:p w14:paraId="18542D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1.多媒体课件教学</w:t>
                  </w:r>
                </w:p>
                <w:p w14:paraId="4CC6C1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2.视频、实物等</w:t>
                  </w:r>
                </w:p>
              </w:tc>
              <w:tc>
                <w:tcPr>
                  <w:tcW w:w="2484" w:type="dxa"/>
                  <w:vAlign w:val="center"/>
                </w:tcPr>
                <w:p w14:paraId="52EBB4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发动机辅助动力装置的工作原理</w:t>
                  </w:r>
                </w:p>
              </w:tc>
            </w:tr>
          </w:tbl>
          <w:p w14:paraId="243C1B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sz w:val="24"/>
                <w:szCs w:val="24"/>
                <w:lang w:val="en-US" w:eastAsia="zh-CN"/>
              </w:rPr>
              <w:t>教学资源制作要求：</w:t>
            </w:r>
          </w:p>
          <w:tbl>
            <w:tblPr>
              <w:tblStyle w:val="22"/>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903"/>
              <w:gridCol w:w="4471"/>
              <w:gridCol w:w="1097"/>
              <w:gridCol w:w="1929"/>
              <w:gridCol w:w="1494"/>
            </w:tblGrid>
            <w:tr w14:paraId="31E3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403C1D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序号</w:t>
                  </w:r>
                </w:p>
              </w:tc>
              <w:tc>
                <w:tcPr>
                  <w:tcW w:w="803" w:type="pct"/>
                  <w:tcMar>
                    <w:left w:w="57" w:type="dxa"/>
                    <w:right w:w="57" w:type="dxa"/>
                  </w:tcMar>
                  <w:vAlign w:val="center"/>
                </w:tcPr>
                <w:p w14:paraId="22F4CC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资源类型</w:t>
                  </w:r>
                </w:p>
              </w:tc>
              <w:tc>
                <w:tcPr>
                  <w:tcW w:w="1886" w:type="pct"/>
                  <w:tcMar>
                    <w:left w:w="57" w:type="dxa"/>
                    <w:right w:w="57" w:type="dxa"/>
                  </w:tcMar>
                  <w:vAlign w:val="center"/>
                </w:tcPr>
                <w:p w14:paraId="224B4A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主要内容</w:t>
                  </w:r>
                </w:p>
              </w:tc>
              <w:tc>
                <w:tcPr>
                  <w:tcW w:w="463" w:type="pct"/>
                  <w:tcMar>
                    <w:left w:w="57" w:type="dxa"/>
                    <w:right w:w="57" w:type="dxa"/>
                  </w:tcMar>
                  <w:vAlign w:val="center"/>
                </w:tcPr>
                <w:p w14:paraId="795FDE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数量</w:t>
                  </w:r>
                </w:p>
              </w:tc>
              <w:tc>
                <w:tcPr>
                  <w:tcW w:w="814" w:type="pct"/>
                  <w:tcMar>
                    <w:left w:w="57" w:type="dxa"/>
                    <w:right w:w="57" w:type="dxa"/>
                  </w:tcMar>
                  <w:vAlign w:val="center"/>
                </w:tcPr>
                <w:p w14:paraId="43DBFF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技术参数</w:t>
                  </w:r>
                </w:p>
              </w:tc>
              <w:tc>
                <w:tcPr>
                  <w:tcW w:w="630" w:type="pct"/>
                  <w:tcMar>
                    <w:left w:w="57" w:type="dxa"/>
                    <w:right w:w="57" w:type="dxa"/>
                  </w:tcMar>
                  <w:vAlign w:val="center"/>
                </w:tcPr>
                <w:p w14:paraId="17C937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rPr>
                    <w:t>总数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不少于</w:t>
                  </w:r>
                  <w:r>
                    <w:rPr>
                      <w:rFonts w:hint="eastAsia" w:asciiTheme="minorEastAsia" w:hAnsiTheme="minorEastAsia" w:eastAsiaTheme="minorEastAsia" w:cstheme="minorEastAsia"/>
                      <w:sz w:val="24"/>
                      <w:szCs w:val="24"/>
                      <w:lang w:eastAsia="zh-CN"/>
                    </w:rPr>
                    <w:t>）</w:t>
                  </w:r>
                </w:p>
              </w:tc>
            </w:tr>
            <w:tr w14:paraId="4A4F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0" w:type="pct"/>
                  <w:tcMar>
                    <w:left w:w="57" w:type="dxa"/>
                    <w:right w:w="57" w:type="dxa"/>
                  </w:tcMar>
                  <w:vAlign w:val="center"/>
                </w:tcPr>
                <w:p w14:paraId="0FE959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w:t>
                  </w:r>
                </w:p>
              </w:tc>
              <w:tc>
                <w:tcPr>
                  <w:tcW w:w="803" w:type="pct"/>
                  <w:tcMar>
                    <w:left w:w="57" w:type="dxa"/>
                    <w:right w:w="57" w:type="dxa"/>
                  </w:tcMar>
                  <w:vAlign w:val="center"/>
                </w:tcPr>
                <w:p w14:paraId="7AB309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教学课件</w:t>
                  </w:r>
                </w:p>
              </w:tc>
              <w:tc>
                <w:tcPr>
                  <w:tcW w:w="1886" w:type="pct"/>
                  <w:tcMar>
                    <w:left w:w="57" w:type="dxa"/>
                    <w:right w:w="57" w:type="dxa"/>
                  </w:tcMar>
                  <w:vAlign w:val="center"/>
                </w:tcPr>
                <w:p w14:paraId="07C51D93">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以采购人提供的</w:t>
                  </w:r>
                  <w:r>
                    <w:rPr>
                      <w:rFonts w:hint="eastAsia" w:asciiTheme="minorEastAsia" w:hAnsiTheme="minorEastAsia" w:eastAsiaTheme="minorEastAsia" w:cstheme="minorEastAsia"/>
                      <w:sz w:val="24"/>
                      <w:szCs w:val="24"/>
                    </w:rPr>
                    <w:t>课件</w:t>
                  </w:r>
                  <w:r>
                    <w:rPr>
                      <w:rFonts w:hint="eastAsia" w:asciiTheme="minorEastAsia" w:hAnsiTheme="minorEastAsia" w:eastAsiaTheme="minorEastAsia" w:cstheme="minorEastAsia"/>
                      <w:sz w:val="24"/>
                      <w:szCs w:val="24"/>
                      <w:lang w:val="en-US" w:eastAsia="zh-CN"/>
                    </w:rPr>
                    <w:t>为基础，优化课件内容</w:t>
                  </w:r>
                  <w:r>
                    <w:rPr>
                      <w:rFonts w:hint="eastAsia" w:asciiTheme="minorEastAsia" w:hAnsiTheme="minorEastAsia" w:eastAsiaTheme="minorEastAsia" w:cstheme="minorEastAsia"/>
                      <w:sz w:val="24"/>
                      <w:szCs w:val="24"/>
                    </w:rPr>
                    <w:t>及美化</w:t>
                  </w:r>
                </w:p>
              </w:tc>
              <w:tc>
                <w:tcPr>
                  <w:tcW w:w="463" w:type="pct"/>
                  <w:tcMar>
                    <w:left w:w="57" w:type="dxa"/>
                    <w:right w:w="57" w:type="dxa"/>
                  </w:tcMar>
                  <w:vAlign w:val="center"/>
                </w:tcPr>
                <w:p w14:paraId="4C3982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30</w:t>
                  </w:r>
                  <w:r>
                    <w:rPr>
                      <w:rFonts w:hint="eastAsia" w:asciiTheme="minorEastAsia" w:hAnsiTheme="minorEastAsia" w:eastAsiaTheme="minorEastAsia" w:cstheme="minorEastAsia"/>
                      <w:b w:val="0"/>
                      <w:bCs/>
                      <w:sz w:val="24"/>
                      <w:szCs w:val="24"/>
                    </w:rPr>
                    <w:t>个</w:t>
                  </w:r>
                </w:p>
              </w:tc>
              <w:tc>
                <w:tcPr>
                  <w:tcW w:w="814" w:type="pct"/>
                  <w:tcMar>
                    <w:left w:w="57" w:type="dxa"/>
                    <w:right w:w="57" w:type="dxa"/>
                  </w:tcMar>
                  <w:vAlign w:val="center"/>
                </w:tcPr>
                <w:p w14:paraId="3CEC60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5-8</w:t>
                  </w:r>
                  <w:r>
                    <w:rPr>
                      <w:rFonts w:hint="eastAsia" w:asciiTheme="minorEastAsia" w:hAnsiTheme="minorEastAsia" w:eastAsiaTheme="minorEastAsia" w:cstheme="minorEastAsia"/>
                      <w:sz w:val="24"/>
                      <w:szCs w:val="24"/>
                    </w:rPr>
                    <w:t>页/个</w:t>
                  </w:r>
                </w:p>
              </w:tc>
              <w:tc>
                <w:tcPr>
                  <w:tcW w:w="630" w:type="pct"/>
                  <w:tcMar>
                    <w:left w:w="57" w:type="dxa"/>
                    <w:right w:w="57" w:type="dxa"/>
                  </w:tcMar>
                  <w:vAlign w:val="center"/>
                </w:tcPr>
                <w:p w14:paraId="34C31C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200</w:t>
                  </w:r>
                  <w:r>
                    <w:rPr>
                      <w:rFonts w:hint="eastAsia" w:asciiTheme="minorEastAsia" w:hAnsiTheme="minorEastAsia" w:eastAsiaTheme="minorEastAsia" w:cstheme="minorEastAsia"/>
                      <w:sz w:val="24"/>
                      <w:szCs w:val="24"/>
                    </w:rPr>
                    <w:t>页</w:t>
                  </w:r>
                </w:p>
              </w:tc>
            </w:tr>
            <w:tr w14:paraId="1304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0F4C47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w:t>
                  </w:r>
                </w:p>
              </w:tc>
              <w:tc>
                <w:tcPr>
                  <w:tcW w:w="803" w:type="pct"/>
                  <w:tcMar>
                    <w:left w:w="57" w:type="dxa"/>
                    <w:right w:w="57" w:type="dxa"/>
                  </w:tcMar>
                  <w:vAlign w:val="center"/>
                </w:tcPr>
                <w:p w14:paraId="52CB22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微课视频</w:t>
                  </w:r>
                </w:p>
              </w:tc>
              <w:tc>
                <w:tcPr>
                  <w:tcW w:w="1886" w:type="pct"/>
                  <w:tcMar>
                    <w:left w:w="57" w:type="dxa"/>
                    <w:right w:w="57" w:type="dxa"/>
                  </w:tcMar>
                  <w:vAlign w:val="center"/>
                </w:tcPr>
                <w:p w14:paraId="518392E0">
                  <w:pPr>
                    <w:keepNext w:val="0"/>
                    <w:keepLines w:val="0"/>
                    <w:pageBreakBefore w:val="0"/>
                    <w:widowControl w:val="0"/>
                    <w:kinsoku/>
                    <w:wordWrap/>
                    <w:overflowPunct/>
                    <w:topLinePunct w:val="0"/>
                    <w:autoSpaceDE/>
                    <w:autoSpaceDN/>
                    <w:bidi w:val="0"/>
                    <w:adjustRightInd/>
                    <w:snapToGrid/>
                    <w:spacing w:line="440" w:lineRule="exact"/>
                    <w:ind w:left="120" w:hanging="120" w:hangingChars="50"/>
                    <w:jc w:val="both"/>
                    <w:textAlignment w:val="auto"/>
                    <w:rPr>
                      <w:rFonts w:hint="eastAsia" w:asciiTheme="minorEastAsia" w:hAnsiTheme="minorEastAsia" w:eastAsiaTheme="minorEastAsia" w:cstheme="minorEastAsia"/>
                      <w:b/>
                      <w:sz w:val="24"/>
                      <w:szCs w:val="24"/>
                      <w:lang w:val="en-US"/>
                    </w:rPr>
                  </w:pPr>
                  <w:r>
                    <w:rPr>
                      <w:rFonts w:hint="eastAsia" w:asciiTheme="minorEastAsia" w:hAnsiTheme="minorEastAsia" w:eastAsiaTheme="minorEastAsia" w:cstheme="minorEastAsia"/>
                      <w:sz w:val="24"/>
                      <w:szCs w:val="24"/>
                      <w:lang w:val="en-US" w:eastAsia="zh-CN"/>
                    </w:rPr>
                    <w:t>根据教学团队提供的教材、资料进行课程内容的文字脚本、视频脚本制作、视频拍摄及后期编辑</w:t>
                  </w:r>
                </w:p>
              </w:tc>
              <w:tc>
                <w:tcPr>
                  <w:tcW w:w="463" w:type="pct"/>
                  <w:tcMar>
                    <w:left w:w="57" w:type="dxa"/>
                    <w:right w:w="57" w:type="dxa"/>
                  </w:tcMar>
                  <w:vAlign w:val="center"/>
                </w:tcPr>
                <w:p w14:paraId="0B326D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30</w:t>
                  </w:r>
                  <w:r>
                    <w:rPr>
                      <w:rFonts w:hint="eastAsia" w:asciiTheme="minorEastAsia" w:hAnsiTheme="minorEastAsia" w:eastAsiaTheme="minorEastAsia" w:cstheme="minorEastAsia"/>
                      <w:b w:val="0"/>
                      <w:bCs/>
                      <w:sz w:val="24"/>
                      <w:szCs w:val="24"/>
                    </w:rPr>
                    <w:t>个</w:t>
                  </w:r>
                </w:p>
              </w:tc>
              <w:tc>
                <w:tcPr>
                  <w:tcW w:w="814" w:type="pct"/>
                  <w:tcMar>
                    <w:left w:w="57" w:type="dxa"/>
                    <w:right w:w="57" w:type="dxa"/>
                  </w:tcMar>
                  <w:vAlign w:val="center"/>
                </w:tcPr>
                <w:p w14:paraId="522BB9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分钟/个</w:t>
                  </w:r>
                </w:p>
              </w:tc>
              <w:tc>
                <w:tcPr>
                  <w:tcW w:w="630" w:type="pct"/>
                  <w:tcMar>
                    <w:left w:w="57" w:type="dxa"/>
                    <w:right w:w="57" w:type="dxa"/>
                  </w:tcMar>
                  <w:vAlign w:val="center"/>
                </w:tcPr>
                <w:p w14:paraId="0ECBB1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300</w:t>
                  </w:r>
                  <w:r>
                    <w:rPr>
                      <w:rFonts w:hint="eastAsia" w:asciiTheme="minorEastAsia" w:hAnsiTheme="minorEastAsia" w:eastAsiaTheme="minorEastAsia" w:cstheme="minorEastAsia"/>
                      <w:sz w:val="24"/>
                      <w:szCs w:val="24"/>
                    </w:rPr>
                    <w:t>分钟</w:t>
                  </w:r>
                </w:p>
              </w:tc>
            </w:tr>
            <w:tr w14:paraId="3673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76445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w:t>
                  </w:r>
                </w:p>
              </w:tc>
              <w:tc>
                <w:tcPr>
                  <w:tcW w:w="803" w:type="pct"/>
                  <w:tcMar>
                    <w:left w:w="57" w:type="dxa"/>
                    <w:right w:w="57" w:type="dxa"/>
                  </w:tcMar>
                  <w:vAlign w:val="center"/>
                </w:tcPr>
                <w:p w14:paraId="568E56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案例视频</w:t>
                  </w:r>
                </w:p>
              </w:tc>
              <w:tc>
                <w:tcPr>
                  <w:tcW w:w="1886" w:type="pct"/>
                  <w:tcMar>
                    <w:left w:w="57" w:type="dxa"/>
                    <w:right w:w="57" w:type="dxa"/>
                  </w:tcMar>
                  <w:vAlign w:val="center"/>
                </w:tcPr>
                <w:p w14:paraId="2F99755C">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课程案例视频后期编辑</w:t>
                  </w:r>
                </w:p>
              </w:tc>
              <w:tc>
                <w:tcPr>
                  <w:tcW w:w="463" w:type="pct"/>
                  <w:tcMar>
                    <w:left w:w="57" w:type="dxa"/>
                    <w:right w:w="57" w:type="dxa"/>
                  </w:tcMar>
                  <w:vAlign w:val="center"/>
                </w:tcPr>
                <w:p w14:paraId="74C47E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TW"/>
                    </w:rPr>
                    <w:t>0</w:t>
                  </w:r>
                  <w:r>
                    <w:rPr>
                      <w:rFonts w:hint="eastAsia" w:asciiTheme="minorEastAsia" w:hAnsiTheme="minorEastAsia" w:eastAsiaTheme="minorEastAsia" w:cstheme="minorEastAsia"/>
                      <w:sz w:val="24"/>
                      <w:szCs w:val="24"/>
                    </w:rPr>
                    <w:t>个</w:t>
                  </w:r>
                </w:p>
              </w:tc>
              <w:tc>
                <w:tcPr>
                  <w:tcW w:w="814" w:type="pct"/>
                  <w:tcMar>
                    <w:left w:w="57" w:type="dxa"/>
                    <w:right w:w="57" w:type="dxa"/>
                  </w:tcMar>
                  <w:vAlign w:val="center"/>
                </w:tcPr>
                <w:p w14:paraId="5C28A1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sz w:val="24"/>
                      <w:szCs w:val="24"/>
                    </w:rPr>
                    <w:t>含案例、文本编排、视频资源等</w:t>
                  </w:r>
                </w:p>
              </w:tc>
              <w:tc>
                <w:tcPr>
                  <w:tcW w:w="630" w:type="pct"/>
                  <w:tcMar>
                    <w:left w:w="57" w:type="dxa"/>
                    <w:right w:w="57" w:type="dxa"/>
                  </w:tcMar>
                  <w:vAlign w:val="center"/>
                </w:tcPr>
                <w:p w14:paraId="2D6C6D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color w:val="FF0000"/>
                      <w:sz w:val="24"/>
                      <w:szCs w:val="24"/>
                    </w:rPr>
                  </w:pPr>
                </w:p>
              </w:tc>
            </w:tr>
            <w:tr w14:paraId="6787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1423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w:t>
                  </w:r>
                </w:p>
              </w:tc>
              <w:tc>
                <w:tcPr>
                  <w:tcW w:w="803" w:type="pct"/>
                  <w:tcMar>
                    <w:left w:w="57" w:type="dxa"/>
                    <w:right w:w="57" w:type="dxa"/>
                  </w:tcMar>
                  <w:vAlign w:val="center"/>
                </w:tcPr>
                <w:p w14:paraId="3221F4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课程动画</w:t>
                  </w:r>
                </w:p>
              </w:tc>
              <w:tc>
                <w:tcPr>
                  <w:tcW w:w="1886" w:type="pct"/>
                  <w:tcMar>
                    <w:left w:w="57" w:type="dxa"/>
                    <w:right w:w="57" w:type="dxa"/>
                  </w:tcMar>
                  <w:vAlign w:val="center"/>
                </w:tcPr>
                <w:p w14:paraId="41DBA5C3">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平面动画或三维动画制作编辑</w:t>
                  </w:r>
                </w:p>
              </w:tc>
              <w:tc>
                <w:tcPr>
                  <w:tcW w:w="463" w:type="pct"/>
                  <w:tcMar>
                    <w:left w:w="57" w:type="dxa"/>
                    <w:right w:w="57" w:type="dxa"/>
                  </w:tcMar>
                  <w:vAlign w:val="center"/>
                </w:tcPr>
                <w:p w14:paraId="5A6EE6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w:t>
                  </w:r>
                </w:p>
              </w:tc>
              <w:tc>
                <w:tcPr>
                  <w:tcW w:w="814" w:type="pct"/>
                  <w:tcMar>
                    <w:left w:w="57" w:type="dxa"/>
                    <w:right w:w="57" w:type="dxa"/>
                  </w:tcMar>
                  <w:vAlign w:val="center"/>
                </w:tcPr>
                <w:p w14:paraId="14BCA0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sz w:val="24"/>
                      <w:szCs w:val="24"/>
                    </w:rPr>
                    <w:t>每个动画不低于10秒</w:t>
                  </w:r>
                </w:p>
              </w:tc>
              <w:tc>
                <w:tcPr>
                  <w:tcW w:w="630" w:type="pct"/>
                  <w:tcMar>
                    <w:left w:w="57" w:type="dxa"/>
                    <w:right w:w="57" w:type="dxa"/>
                  </w:tcMar>
                  <w:vAlign w:val="center"/>
                </w:tcPr>
                <w:p w14:paraId="065F50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分钟</w:t>
                  </w:r>
                </w:p>
              </w:tc>
            </w:tr>
            <w:tr w14:paraId="1B91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27DDD6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5</w:t>
                  </w:r>
                </w:p>
              </w:tc>
              <w:tc>
                <w:tcPr>
                  <w:tcW w:w="803" w:type="pct"/>
                  <w:tcMar>
                    <w:left w:w="57" w:type="dxa"/>
                    <w:right w:w="57" w:type="dxa"/>
                  </w:tcMar>
                  <w:vAlign w:val="center"/>
                </w:tcPr>
                <w:p w14:paraId="28CB34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课程宣传片定制</w:t>
                  </w:r>
                </w:p>
              </w:tc>
              <w:tc>
                <w:tcPr>
                  <w:tcW w:w="1886" w:type="pct"/>
                  <w:tcMar>
                    <w:left w:w="57" w:type="dxa"/>
                    <w:right w:w="57" w:type="dxa"/>
                  </w:tcMar>
                  <w:vAlign w:val="center"/>
                </w:tcPr>
                <w:p w14:paraId="41E40B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制作一分钟内的课程宣传片，在课程简介基础上提炼和升华的课程宣传用语，旨在推广本课程</w:t>
                  </w:r>
                </w:p>
              </w:tc>
              <w:tc>
                <w:tcPr>
                  <w:tcW w:w="463" w:type="pct"/>
                  <w:tcMar>
                    <w:left w:w="57" w:type="dxa"/>
                    <w:right w:w="57" w:type="dxa"/>
                  </w:tcMar>
                  <w:vAlign w:val="center"/>
                </w:tcPr>
                <w:p w14:paraId="781D86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1个</w:t>
                  </w:r>
                </w:p>
              </w:tc>
              <w:tc>
                <w:tcPr>
                  <w:tcW w:w="814" w:type="pct"/>
                  <w:tcMar>
                    <w:left w:w="57" w:type="dxa"/>
                    <w:right w:w="57" w:type="dxa"/>
                  </w:tcMar>
                  <w:vAlign w:val="center"/>
                </w:tcPr>
                <w:p w14:paraId="6BAC74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1分钟/个</w:t>
                  </w:r>
                </w:p>
              </w:tc>
              <w:tc>
                <w:tcPr>
                  <w:tcW w:w="630" w:type="pct"/>
                  <w:tcMar>
                    <w:left w:w="57" w:type="dxa"/>
                    <w:right w:w="57" w:type="dxa"/>
                  </w:tcMar>
                  <w:vAlign w:val="center"/>
                </w:tcPr>
                <w:p w14:paraId="093CD3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1分钟</w:t>
                  </w:r>
                </w:p>
              </w:tc>
            </w:tr>
            <w:tr w14:paraId="7A9F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0FA8B0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6</w:t>
                  </w:r>
                </w:p>
              </w:tc>
              <w:tc>
                <w:tcPr>
                  <w:tcW w:w="803" w:type="pct"/>
                  <w:tcMar>
                    <w:left w:w="57" w:type="dxa"/>
                    <w:right w:w="57" w:type="dxa"/>
                  </w:tcMar>
                  <w:vAlign w:val="center"/>
                </w:tcPr>
                <w:p w14:paraId="3DF4B7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片头片尾定制</w:t>
                  </w:r>
                </w:p>
              </w:tc>
              <w:tc>
                <w:tcPr>
                  <w:tcW w:w="1886" w:type="pct"/>
                  <w:tcMar>
                    <w:left w:w="57" w:type="dxa"/>
                    <w:right w:w="57" w:type="dxa"/>
                  </w:tcMar>
                  <w:vAlign w:val="center"/>
                </w:tcPr>
                <w:p w14:paraId="468B5E6B">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1.片头不超过10秒，包括:学校LOGO、课程名称、章节、主讲教师姓名、专业技术职务、单位等信息；</w:t>
                  </w:r>
                </w:p>
                <w:p w14:paraId="30276084">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2.片尾包括制作单位、录制时间等信息。</w:t>
                  </w:r>
                </w:p>
              </w:tc>
              <w:tc>
                <w:tcPr>
                  <w:tcW w:w="463" w:type="pct"/>
                  <w:tcMar>
                    <w:left w:w="57" w:type="dxa"/>
                    <w:right w:w="57" w:type="dxa"/>
                  </w:tcMar>
                  <w:vAlign w:val="center"/>
                </w:tcPr>
                <w:p w14:paraId="284DAD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个</w:t>
                  </w:r>
                </w:p>
              </w:tc>
              <w:tc>
                <w:tcPr>
                  <w:tcW w:w="814" w:type="pct"/>
                  <w:tcMar>
                    <w:left w:w="57" w:type="dxa"/>
                    <w:right w:w="57" w:type="dxa"/>
                  </w:tcMar>
                  <w:vAlign w:val="center"/>
                </w:tcPr>
                <w:p w14:paraId="206F6B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30秒以内/个</w:t>
                  </w:r>
                </w:p>
              </w:tc>
              <w:tc>
                <w:tcPr>
                  <w:tcW w:w="630" w:type="pct"/>
                  <w:tcMar>
                    <w:left w:w="57" w:type="dxa"/>
                    <w:right w:w="57" w:type="dxa"/>
                  </w:tcMar>
                  <w:vAlign w:val="center"/>
                </w:tcPr>
                <w:p w14:paraId="71838C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30秒</w:t>
                  </w:r>
                </w:p>
              </w:tc>
            </w:tr>
            <w:tr w14:paraId="0D5E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4021B5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w:t>
                  </w:r>
                </w:p>
              </w:tc>
              <w:tc>
                <w:tcPr>
                  <w:tcW w:w="803" w:type="pct"/>
                  <w:tcMar>
                    <w:left w:w="57" w:type="dxa"/>
                    <w:right w:w="57" w:type="dxa"/>
                  </w:tcMar>
                  <w:vAlign w:val="center"/>
                </w:tcPr>
                <w:p w14:paraId="099373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课程海报设计</w:t>
                  </w:r>
                </w:p>
              </w:tc>
              <w:tc>
                <w:tcPr>
                  <w:tcW w:w="1886" w:type="pct"/>
                  <w:tcMar>
                    <w:left w:w="57" w:type="dxa"/>
                    <w:right w:w="57" w:type="dxa"/>
                  </w:tcMar>
                  <w:vAlign w:val="center"/>
                </w:tcPr>
                <w:p w14:paraId="034B8C6D">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1.根据课程内容设计符合课程风格的封面；</w:t>
                  </w:r>
                </w:p>
                <w:p w14:paraId="173691EC">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2.应用于多个课程平台封面展示；</w:t>
                  </w:r>
                </w:p>
                <w:p w14:paraId="11E31120">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3.课程封面包括LOGO、课程名称、章节、主讲教师姓名、专业技术职务、单位等信息。</w:t>
                  </w:r>
                </w:p>
              </w:tc>
              <w:tc>
                <w:tcPr>
                  <w:tcW w:w="463" w:type="pct"/>
                  <w:tcMar>
                    <w:left w:w="57" w:type="dxa"/>
                    <w:right w:w="57" w:type="dxa"/>
                  </w:tcMar>
                  <w:vAlign w:val="center"/>
                </w:tcPr>
                <w:p w14:paraId="524A74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1个</w:t>
                  </w:r>
                </w:p>
              </w:tc>
              <w:tc>
                <w:tcPr>
                  <w:tcW w:w="814" w:type="pct"/>
                  <w:tcMar>
                    <w:left w:w="57" w:type="dxa"/>
                    <w:right w:w="57" w:type="dxa"/>
                  </w:tcMar>
                  <w:vAlign w:val="center"/>
                </w:tcPr>
                <w:p w14:paraId="7C6681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1页/个</w:t>
                  </w:r>
                </w:p>
              </w:tc>
              <w:tc>
                <w:tcPr>
                  <w:tcW w:w="630" w:type="pct"/>
                  <w:tcMar>
                    <w:left w:w="57" w:type="dxa"/>
                    <w:right w:w="57" w:type="dxa"/>
                  </w:tcMar>
                  <w:vAlign w:val="center"/>
                </w:tcPr>
                <w:p w14:paraId="14E80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1张</w:t>
                  </w:r>
                </w:p>
              </w:tc>
            </w:tr>
            <w:tr w14:paraId="2B2A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Mar>
                    <w:left w:w="57" w:type="dxa"/>
                    <w:right w:w="57" w:type="dxa"/>
                  </w:tcMar>
                  <w:vAlign w:val="center"/>
                </w:tcPr>
                <w:p w14:paraId="16A58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803" w:type="pct"/>
                  <w:tcMar>
                    <w:left w:w="57" w:type="dxa"/>
                    <w:right w:w="57" w:type="dxa"/>
                  </w:tcMar>
                  <w:vAlign w:val="center"/>
                </w:tcPr>
                <w:p w14:paraId="4B68A5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设备耗材</w:t>
                  </w:r>
                </w:p>
              </w:tc>
              <w:tc>
                <w:tcPr>
                  <w:tcW w:w="1886" w:type="pct"/>
                  <w:tcMar>
                    <w:left w:w="57" w:type="dxa"/>
                    <w:right w:w="57" w:type="dxa"/>
                  </w:tcMar>
                  <w:vAlign w:val="center"/>
                </w:tcPr>
                <w:p w14:paraId="5B677077">
                  <w:pPr>
                    <w:keepNext w:val="0"/>
                    <w:keepLines w:val="0"/>
                    <w:pageBreakBefore w:val="0"/>
                    <w:widowControl w:val="0"/>
                    <w:kinsoku/>
                    <w:wordWrap/>
                    <w:overflowPunct/>
                    <w:topLinePunct w:val="0"/>
                    <w:autoSpaceDE/>
                    <w:autoSpaceDN/>
                    <w:bidi w:val="0"/>
                    <w:adjustRightInd/>
                    <w:snapToGrid/>
                    <w:spacing w:line="440" w:lineRule="exact"/>
                    <w:ind w:left="120" w:hanging="120" w:hangingChars="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提供提词器1台，4K摄像机两台及以上，收音设备一套，课程建设实训设备耗材若干，绿幕录播室一间，航空实训录播室一间，课程讲解中所需的各类工具及零部件。</w:t>
                  </w:r>
                </w:p>
              </w:tc>
              <w:tc>
                <w:tcPr>
                  <w:tcW w:w="463" w:type="pct"/>
                  <w:tcMar>
                    <w:left w:w="57" w:type="dxa"/>
                    <w:right w:w="57" w:type="dxa"/>
                  </w:tcMar>
                  <w:vAlign w:val="center"/>
                </w:tcPr>
                <w:p w14:paraId="636919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1套</w:t>
                  </w:r>
                </w:p>
              </w:tc>
              <w:tc>
                <w:tcPr>
                  <w:tcW w:w="814" w:type="pct"/>
                  <w:tcMar>
                    <w:left w:w="57" w:type="dxa"/>
                    <w:right w:w="57" w:type="dxa"/>
                  </w:tcMar>
                  <w:vAlign w:val="center"/>
                </w:tcPr>
                <w:p w14:paraId="04F8E3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安全演示用具等</w:t>
                  </w:r>
                </w:p>
              </w:tc>
              <w:tc>
                <w:tcPr>
                  <w:tcW w:w="630" w:type="pct"/>
                  <w:tcMar>
                    <w:left w:w="57" w:type="dxa"/>
                    <w:right w:w="57" w:type="dxa"/>
                  </w:tcMar>
                  <w:vAlign w:val="center"/>
                </w:tcPr>
                <w:p w14:paraId="6EA375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1套</w:t>
                  </w:r>
                </w:p>
              </w:tc>
            </w:tr>
          </w:tbl>
          <w:p w14:paraId="78C6BA94">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0" w:firstLineChars="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p>
        </w:tc>
      </w:tr>
    </w:tbl>
    <w:p w14:paraId="530258A8">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质量要求、技术服务</w:t>
      </w:r>
      <w:r>
        <w:rPr>
          <w:rFonts w:hint="eastAsia" w:asciiTheme="minorEastAsia" w:hAnsiTheme="minorEastAsia" w:eastAsiaTheme="minorEastAsia" w:cstheme="minorEastAsia"/>
          <w:b/>
          <w:sz w:val="24"/>
          <w:szCs w:val="24"/>
          <w:lang w:eastAsia="zh-CN"/>
        </w:rPr>
        <w:t>：</w:t>
      </w:r>
    </w:p>
    <w:p w14:paraId="7139BBBF">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所提供的服务必须</w:t>
      </w:r>
      <w:r>
        <w:rPr>
          <w:rFonts w:hint="eastAsia" w:asciiTheme="minorEastAsia" w:hAnsiTheme="minorEastAsia" w:eastAsiaTheme="minorEastAsia" w:cstheme="minorEastAsia"/>
          <w:sz w:val="24"/>
          <w:szCs w:val="24"/>
          <w:lang w:val="en-US" w:eastAsia="zh-CN"/>
        </w:rPr>
        <w:t>满足网上竞价文件要求</w:t>
      </w:r>
      <w:r>
        <w:rPr>
          <w:rFonts w:hint="eastAsia" w:asciiTheme="minorEastAsia" w:hAnsiTheme="minorEastAsia" w:eastAsiaTheme="minorEastAsia" w:cstheme="minorEastAsia"/>
          <w:sz w:val="24"/>
          <w:szCs w:val="24"/>
        </w:rPr>
        <w:t>，符合采购人</w:t>
      </w:r>
      <w:r>
        <w:rPr>
          <w:rFonts w:hint="eastAsia" w:asciiTheme="minorEastAsia" w:hAnsiTheme="minorEastAsia" w:eastAsiaTheme="minorEastAsia" w:cstheme="minorEastAsia"/>
          <w:sz w:val="24"/>
          <w:szCs w:val="24"/>
          <w:lang w:val="en-US" w:eastAsia="zh-CN"/>
        </w:rPr>
        <w:t>网上竞价文件</w:t>
      </w:r>
      <w:r>
        <w:rPr>
          <w:rFonts w:hint="eastAsia" w:asciiTheme="minorEastAsia" w:hAnsiTheme="minorEastAsia" w:eastAsiaTheme="minorEastAsia" w:cstheme="minorEastAsia"/>
          <w:sz w:val="24"/>
          <w:szCs w:val="24"/>
        </w:rPr>
        <w:t>中所述技术标准，符合国家的有关标准。标准：本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所指的服务应符合</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技术规格所述的标准，如果没有提及适用标准，则应符合中华人民共和国国家标准或行业标准；如果中华人民共和国没有相关标准的，则采用服务来源国适用的官方标准。这些标准必须是有关机构发布的最新版本的标准。</w:t>
      </w:r>
    </w:p>
    <w:p w14:paraId="3900AF3E">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所提供的服务均由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免费送至采购人指定的交货地点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项目所需的车辆、设备、人工、材料、工具</w:t>
      </w:r>
      <w:r>
        <w:rPr>
          <w:rFonts w:hint="eastAsia" w:asciiTheme="minorEastAsia" w:hAnsiTheme="minorEastAsia" w:eastAsiaTheme="minorEastAsia" w:cstheme="minorEastAsia"/>
          <w:sz w:val="24"/>
          <w:szCs w:val="24"/>
        </w:rPr>
        <w:t>等全部费用均包含在合同价款中。运输过程中造成的</w:t>
      </w:r>
      <w:r>
        <w:rPr>
          <w:rFonts w:hint="eastAsia" w:asciiTheme="minorEastAsia" w:hAnsiTheme="minorEastAsia" w:eastAsiaTheme="minorEastAsia" w:cstheme="minorEastAsia"/>
          <w:sz w:val="24"/>
          <w:szCs w:val="24"/>
          <w:lang w:val="en-US" w:eastAsia="zh-CN"/>
        </w:rPr>
        <w:t>设施设备</w:t>
      </w:r>
      <w:r>
        <w:rPr>
          <w:rFonts w:hint="eastAsia" w:asciiTheme="minorEastAsia" w:hAnsiTheme="minorEastAsia" w:eastAsiaTheme="minorEastAsia" w:cstheme="minorEastAsia"/>
          <w:sz w:val="24"/>
          <w:szCs w:val="24"/>
        </w:rPr>
        <w:t>损坏、丢失或其它质量问题，其责任和损失由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负担。</w:t>
      </w:r>
    </w:p>
    <w:p w14:paraId="57DF453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合同价为固定价，不受时间、人力成本、服务升降等因素的影响，</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需按所报清单上所列素材资源清单进行订制，不准以其它同类型代替。</w:t>
      </w:r>
    </w:p>
    <w:p w14:paraId="551B5A42">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kern w:val="0"/>
          <w:sz w:val="24"/>
          <w:szCs w:val="24"/>
          <w:highlight w:val="none"/>
        </w:rPr>
        <w:sectPr>
          <w:pgSz w:w="16838" w:h="11906" w:orient="landscape"/>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三、商务要求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p w14:paraId="455E0420">
      <w:pPr>
        <w:pStyle w:val="8"/>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w:t>
      </w:r>
      <w:r>
        <w:rPr>
          <w:rFonts w:hint="eastAsia" w:asciiTheme="minorEastAsia" w:hAnsiTheme="minorEastAsia" w:eastAsiaTheme="minorEastAsia" w:cstheme="minorEastAsia"/>
          <w:b/>
          <w:bCs/>
          <w:color w:val="auto"/>
          <w:kern w:val="0"/>
          <w:sz w:val="24"/>
          <w:szCs w:val="24"/>
          <w:highlight w:val="none"/>
        </w:rPr>
        <w:t>地点：</w:t>
      </w:r>
      <w:r>
        <w:rPr>
          <w:rFonts w:hint="eastAsia" w:asciiTheme="minorEastAsia" w:hAnsiTheme="minorEastAsia" w:eastAsiaTheme="minorEastAsia" w:cstheme="minorEastAsia"/>
          <w:b w:val="0"/>
          <w:bCs w:val="0"/>
          <w:color w:val="auto"/>
          <w:kern w:val="0"/>
          <w:sz w:val="24"/>
          <w:szCs w:val="24"/>
          <w:highlight w:val="none"/>
        </w:rPr>
        <w:t>福州市大学城联榕路8号福州职业技术学院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采购人指定地点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rPr>
        <w:t>。</w:t>
      </w:r>
    </w:p>
    <w:p w14:paraId="6AF46AF8">
      <w:pPr>
        <w:pStyle w:val="8"/>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服务期限</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rPr>
        <w:t>自合同签订之日起</w:t>
      </w:r>
      <w:r>
        <w:rPr>
          <w:rFonts w:hint="eastAsia" w:asciiTheme="minorEastAsia" w:hAnsiTheme="minorEastAsia" w:eastAsiaTheme="minorEastAsia" w:cstheme="minorEastAsia"/>
          <w:b w:val="0"/>
          <w:bCs w:val="0"/>
          <w:color w:val="auto"/>
          <w:kern w:val="0"/>
          <w:sz w:val="24"/>
          <w:szCs w:val="24"/>
          <w:highlight w:val="none"/>
          <w:lang w:val="en-US" w:eastAsia="zh-CN"/>
        </w:rPr>
        <w:t>21</w:t>
      </w:r>
      <w:r>
        <w:rPr>
          <w:rFonts w:hint="eastAsia" w:asciiTheme="minorEastAsia" w:hAnsiTheme="minorEastAsia" w:eastAsiaTheme="minorEastAsia" w:cstheme="minorEastAsia"/>
          <w:b w:val="0"/>
          <w:bCs w:val="0"/>
          <w:color w:val="auto"/>
          <w:kern w:val="0"/>
          <w:sz w:val="24"/>
          <w:szCs w:val="24"/>
          <w:highlight w:val="none"/>
        </w:rPr>
        <w:t>日内完成。</w:t>
      </w:r>
    </w:p>
    <w:p w14:paraId="0F21BAE8">
      <w:pPr>
        <w:pStyle w:val="5"/>
        <w:keepNext w:val="0"/>
        <w:keepLines w:val="0"/>
        <w:pageBreakBefore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交付条件：</w:t>
      </w:r>
      <w:r>
        <w:rPr>
          <w:rFonts w:hint="eastAsia" w:asciiTheme="minorEastAsia" w:hAnsiTheme="minorEastAsia" w:eastAsiaTheme="minorEastAsia" w:cstheme="minorEastAsia"/>
          <w:b w:val="0"/>
          <w:bCs w:val="0"/>
          <w:color w:val="auto"/>
          <w:kern w:val="0"/>
          <w:sz w:val="24"/>
          <w:szCs w:val="24"/>
          <w:highlight w:val="none"/>
          <w:lang w:val="en-US" w:eastAsia="zh-CN"/>
        </w:rPr>
        <w:t>经采购人</w:t>
      </w:r>
      <w:r>
        <w:rPr>
          <w:rFonts w:hint="eastAsia" w:asciiTheme="minorEastAsia" w:hAnsiTheme="minorEastAsia" w:eastAsiaTheme="minorEastAsia" w:cstheme="minorEastAsia"/>
          <w:b w:val="0"/>
          <w:bCs w:val="0"/>
          <w:color w:val="auto"/>
          <w:kern w:val="0"/>
          <w:sz w:val="24"/>
          <w:szCs w:val="24"/>
          <w:highlight w:val="none"/>
        </w:rPr>
        <w:t>验收合格</w:t>
      </w:r>
      <w:r>
        <w:rPr>
          <w:rFonts w:hint="eastAsia" w:asciiTheme="minorEastAsia" w:hAnsiTheme="minorEastAsia" w:eastAsiaTheme="minorEastAsia" w:cstheme="minorEastAsia"/>
          <w:b w:val="0"/>
          <w:bCs w:val="0"/>
          <w:color w:val="auto"/>
          <w:kern w:val="0"/>
          <w:sz w:val="24"/>
          <w:szCs w:val="24"/>
          <w:highlight w:val="none"/>
          <w:lang w:val="en-US" w:eastAsia="zh-CN"/>
        </w:rPr>
        <w:t>并</w:t>
      </w:r>
      <w:r>
        <w:rPr>
          <w:rFonts w:hint="eastAsia" w:asciiTheme="minorEastAsia" w:hAnsiTheme="minorEastAsia" w:eastAsiaTheme="minorEastAsia" w:cstheme="minorEastAsia"/>
          <w:b w:val="0"/>
          <w:bCs w:val="0"/>
          <w:color w:val="auto"/>
          <w:kern w:val="0"/>
          <w:sz w:val="24"/>
          <w:szCs w:val="24"/>
          <w:highlight w:val="none"/>
        </w:rPr>
        <w:t>交付使用</w:t>
      </w:r>
      <w:r>
        <w:rPr>
          <w:rFonts w:hint="eastAsia" w:asciiTheme="minorEastAsia" w:hAnsiTheme="minorEastAsia" w:eastAsiaTheme="minorEastAsia" w:cstheme="minorEastAsia"/>
          <w:b w:val="0"/>
          <w:bCs/>
          <w:sz w:val="24"/>
          <w:szCs w:val="24"/>
          <w:highlight w:val="none"/>
        </w:rPr>
        <w:t>。</w:t>
      </w:r>
    </w:p>
    <w:p w14:paraId="1A6354C5">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b w:val="0"/>
          <w:bCs w:val="0"/>
          <w:color w:val="auto"/>
          <w:sz w:val="24"/>
          <w:szCs w:val="24"/>
          <w:highlight w:val="none"/>
          <w:lang w:val="en-US" w:eastAsia="zh-CN"/>
        </w:rPr>
        <w:t>不邀请。</w:t>
      </w:r>
    </w:p>
    <w:p w14:paraId="383A6C5D">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验收方式</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45365A48">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rPr>
        <w:t>全部服务完成，并经验收合格后，</w:t>
      </w:r>
      <w:r>
        <w:rPr>
          <w:rFonts w:hint="eastAsia" w:asciiTheme="minorEastAsia" w:hAnsiTheme="minorEastAsia" w:eastAsiaTheme="minorEastAsia" w:cstheme="minorEastAsia"/>
          <w:b w:val="0"/>
          <w:bCs w:val="0"/>
          <w:color w:val="auto"/>
          <w:sz w:val="24"/>
          <w:szCs w:val="24"/>
          <w:highlight w:val="none"/>
          <w:lang w:val="en-US" w:eastAsia="zh-CN"/>
        </w:rPr>
        <w:t>10日</w:t>
      </w:r>
      <w:r>
        <w:rPr>
          <w:rFonts w:hint="eastAsia" w:asciiTheme="minorEastAsia" w:hAnsiTheme="minorEastAsia" w:eastAsiaTheme="minorEastAsia" w:cstheme="minorEastAsia"/>
          <w:b w:val="0"/>
          <w:bCs w:val="0"/>
          <w:color w:val="auto"/>
          <w:sz w:val="24"/>
          <w:szCs w:val="24"/>
          <w:highlight w:val="none"/>
        </w:rPr>
        <w:t>内</w:t>
      </w:r>
      <w:r>
        <w:rPr>
          <w:rFonts w:hint="eastAsia" w:asciiTheme="minorEastAsia" w:hAnsiTheme="minorEastAsia" w:eastAsiaTheme="minorEastAsia" w:cstheme="minorEastAsia"/>
          <w:b w:val="0"/>
          <w:bCs w:val="0"/>
          <w:color w:val="auto"/>
          <w:sz w:val="24"/>
          <w:szCs w:val="24"/>
          <w:highlight w:val="none"/>
          <w:lang w:val="en-US" w:eastAsia="zh-CN"/>
        </w:rPr>
        <w:t>采购人</w:t>
      </w:r>
      <w:r>
        <w:rPr>
          <w:rFonts w:hint="eastAsia" w:asciiTheme="minorEastAsia" w:hAnsiTheme="minorEastAsia" w:eastAsiaTheme="minorEastAsia" w:cstheme="minorEastAsia"/>
          <w:b w:val="0"/>
          <w:bCs w:val="0"/>
          <w:color w:val="auto"/>
          <w:sz w:val="24"/>
          <w:szCs w:val="24"/>
          <w:highlight w:val="none"/>
        </w:rPr>
        <w:t>凭收讫服务的验收凭证和服务验收合格文件等材料以转账方式向</w:t>
      </w:r>
      <w:r>
        <w:rPr>
          <w:rFonts w:hint="eastAsia" w:asciiTheme="minorEastAsia" w:hAnsiTheme="minorEastAsia" w:eastAsiaTheme="minorEastAsia" w:cstheme="minorEastAsia"/>
          <w:b w:val="0"/>
          <w:bCs w:val="0"/>
          <w:color w:val="auto"/>
          <w:sz w:val="24"/>
          <w:szCs w:val="24"/>
          <w:highlight w:val="none"/>
          <w:lang w:eastAsia="zh-CN"/>
        </w:rPr>
        <w:t>成交供应商</w:t>
      </w:r>
      <w:r>
        <w:rPr>
          <w:rFonts w:hint="eastAsia" w:asciiTheme="minorEastAsia" w:hAnsiTheme="minorEastAsia" w:eastAsiaTheme="minorEastAsia" w:cstheme="minorEastAsia"/>
          <w:b w:val="0"/>
          <w:bCs w:val="0"/>
          <w:color w:val="auto"/>
          <w:sz w:val="24"/>
          <w:szCs w:val="24"/>
          <w:highlight w:val="none"/>
        </w:rPr>
        <w:t>一次性支付</w:t>
      </w:r>
      <w:r>
        <w:rPr>
          <w:rFonts w:hint="eastAsia" w:asciiTheme="minorEastAsia" w:hAnsiTheme="minorEastAsia" w:eastAsiaTheme="minorEastAsia" w:cstheme="minorEastAsia"/>
          <w:b w:val="0"/>
          <w:bCs w:val="0"/>
          <w:color w:val="auto"/>
          <w:sz w:val="24"/>
          <w:szCs w:val="24"/>
          <w:highlight w:val="none"/>
          <w:lang w:val="en-US" w:eastAsia="zh-CN"/>
        </w:rPr>
        <w:t>合同价款的</w:t>
      </w:r>
      <w:r>
        <w:rPr>
          <w:rFonts w:hint="eastAsia" w:asciiTheme="minorEastAsia" w:hAnsiTheme="minorEastAsia" w:eastAsiaTheme="minorEastAsia" w:cstheme="minorEastAsia"/>
          <w:b w:val="0"/>
          <w:bCs w:val="0"/>
          <w:color w:val="auto"/>
          <w:sz w:val="24"/>
          <w:szCs w:val="24"/>
          <w:highlight w:val="none"/>
        </w:rPr>
        <w:t>100%。</w:t>
      </w:r>
    </w:p>
    <w:p w14:paraId="18929153">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asciiTheme="minorEastAsia" w:hAnsiTheme="minorEastAsia" w:eastAsiaTheme="minorEastAsia" w:cstheme="minorEastAsia"/>
          <w:b w:val="0"/>
          <w:bCs w:val="0"/>
          <w:color w:val="auto"/>
          <w:kern w:val="0"/>
          <w:sz w:val="24"/>
          <w:szCs w:val="24"/>
          <w:highlight w:val="none"/>
          <w:lang w:val="en-US" w:eastAsia="zh-CN" w:bidi="ar-SA"/>
        </w:rPr>
        <w:t>不缴纳。</w:t>
      </w:r>
    </w:p>
    <w:p w14:paraId="7BA91A8A">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8、验收要求：</w:t>
      </w:r>
    </w:p>
    <w:p w14:paraId="2ECBDD69">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.1验收期次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none"/>
        </w:rPr>
        <w:t>（1）</w:t>
      </w:r>
      <w:r>
        <w:rPr>
          <w:rFonts w:hint="eastAsia" w:asciiTheme="minorEastAsia" w:hAnsiTheme="minorEastAsia" w:eastAsiaTheme="minorEastAsia" w:cstheme="minorEastAsia"/>
          <w:sz w:val="24"/>
          <w:szCs w:val="24"/>
        </w:rPr>
        <w:t>次</w:t>
      </w:r>
    </w:p>
    <w:p w14:paraId="1072AF77">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.2验收标准</w:t>
      </w:r>
      <w:r>
        <w:rPr>
          <w:rFonts w:hint="eastAsia" w:asciiTheme="minorEastAsia" w:hAnsiTheme="minorEastAsia" w:eastAsiaTheme="minorEastAsia" w:cstheme="minorEastAsia"/>
          <w:sz w:val="24"/>
          <w:szCs w:val="24"/>
          <w:lang w:eastAsia="zh-CN"/>
        </w:rPr>
        <w:t>：</w:t>
      </w:r>
    </w:p>
    <w:p w14:paraId="2FF173BB">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应在</w:t>
      </w:r>
      <w:r>
        <w:rPr>
          <w:rFonts w:hint="eastAsia" w:asciiTheme="minorEastAsia" w:hAnsiTheme="minorEastAsia" w:eastAsiaTheme="minorEastAsia" w:cstheme="minorEastAsia"/>
          <w:sz w:val="24"/>
          <w:szCs w:val="24"/>
          <w:lang w:val="en-US" w:eastAsia="zh-CN"/>
        </w:rPr>
        <w:t>提供服务</w:t>
      </w:r>
      <w:r>
        <w:rPr>
          <w:rFonts w:hint="eastAsia" w:asciiTheme="minorEastAsia" w:hAnsiTheme="minorEastAsia" w:eastAsiaTheme="minorEastAsia" w:cstheme="minorEastAsia"/>
          <w:sz w:val="24"/>
          <w:szCs w:val="24"/>
        </w:rPr>
        <w:t>同时向采购人提供所有有关本合同执行的技术文件。如果项目必</w:t>
      </w:r>
      <w:r>
        <w:rPr>
          <w:rFonts w:hint="eastAsia" w:asciiTheme="minorEastAsia" w:hAnsiTheme="minorEastAsia" w:eastAsiaTheme="minorEastAsia" w:cstheme="minorEastAsia"/>
          <w:sz w:val="24"/>
          <w:szCs w:val="24"/>
          <w:lang w:val="en-US" w:eastAsia="zh-CN"/>
        </w:rPr>
        <w:t>须</w:t>
      </w:r>
      <w:r>
        <w:rPr>
          <w:rFonts w:hint="eastAsia" w:asciiTheme="minorEastAsia" w:hAnsiTheme="minorEastAsia" w:eastAsiaTheme="minorEastAsia" w:cstheme="minorEastAsia"/>
          <w:sz w:val="24"/>
          <w:szCs w:val="24"/>
        </w:rPr>
        <w:t>但合同又未作规定的要</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才能提供的技术文件，</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也应及时向采购人提供。技术文件可以是手册、说明、其他形式的文件资料。</w:t>
      </w:r>
    </w:p>
    <w:p w14:paraId="67F03266">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上述技术文件应包含保证采购人能够正确进行使用、检查、测试、验收的需要的所有内容。</w:t>
      </w:r>
    </w:p>
    <w:p w14:paraId="736B451D">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提供的技术文件的全部费用已包含在合同总价中。</w:t>
      </w:r>
    </w:p>
    <w:p w14:paraId="0CE85E41">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所有未列明交付时间的</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应提供的技术文件，必须单独包装伴随</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交付时间交付给采购人。技术文件未提供给采购人的，视为</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未完全履行交付义务。</w:t>
      </w:r>
    </w:p>
    <w:p w14:paraId="5487EECF">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5服务完成</w:t>
      </w:r>
      <w:r>
        <w:rPr>
          <w:rFonts w:hint="eastAsia" w:asciiTheme="minorEastAsia" w:hAnsiTheme="minorEastAsia" w:eastAsiaTheme="minorEastAsia" w:cstheme="minorEastAsia"/>
          <w:sz w:val="24"/>
          <w:szCs w:val="24"/>
        </w:rPr>
        <w:t>后采购人如发现</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未提供有关文件，可以推迟付款，直至</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补齐有关文件</w:t>
      </w:r>
      <w:r>
        <w:rPr>
          <w:rFonts w:hint="eastAsia" w:asciiTheme="minorEastAsia" w:hAnsiTheme="minorEastAsia" w:eastAsiaTheme="minorEastAsia" w:cstheme="minorEastAsia"/>
          <w:sz w:val="24"/>
          <w:szCs w:val="24"/>
          <w:lang w:eastAsia="zh-CN"/>
        </w:rPr>
        <w:t>。</w:t>
      </w:r>
    </w:p>
    <w:p w14:paraId="254DA327">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.3验收方案</w:t>
      </w:r>
      <w:r>
        <w:rPr>
          <w:rFonts w:hint="eastAsia" w:asciiTheme="minorEastAsia" w:hAnsiTheme="minorEastAsia" w:eastAsiaTheme="minorEastAsia" w:cstheme="minorEastAsia"/>
          <w:sz w:val="24"/>
          <w:szCs w:val="24"/>
          <w:lang w:eastAsia="zh-CN"/>
        </w:rPr>
        <w:t>：</w:t>
      </w:r>
    </w:p>
    <w:p w14:paraId="45821E83">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最终验收</w:t>
      </w:r>
    </w:p>
    <w:p w14:paraId="192B6B1E">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采购人在收到</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的验收申请后5个工作日内，采购人和</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共同进行验收。采购人将按照采购合同规定的技术、服务、安全标准组织对</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履约情况进行验收，并出具验收书。验收书应当包括每一项技术、服务、安全标准的履约情况。验收结果经双方确认后，双方代表必须按规定的验收交接单上的项目对照本合同填好验收结果并签名盖章。验收过程中，若发现有问题</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应无条件于7</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内免费</w:t>
      </w:r>
      <w:r>
        <w:rPr>
          <w:rFonts w:hint="eastAsia" w:asciiTheme="minorEastAsia" w:hAnsiTheme="minorEastAsia" w:eastAsiaTheme="minorEastAsia" w:cstheme="minorEastAsia"/>
          <w:sz w:val="24"/>
          <w:szCs w:val="24"/>
          <w:lang w:val="en-US" w:eastAsia="zh-CN"/>
        </w:rPr>
        <w:t>解决</w:t>
      </w:r>
      <w:r>
        <w:rPr>
          <w:rFonts w:hint="eastAsia" w:asciiTheme="minorEastAsia" w:hAnsiTheme="minorEastAsia" w:eastAsiaTheme="minorEastAsia" w:cstheme="minorEastAsia"/>
          <w:sz w:val="24"/>
          <w:szCs w:val="24"/>
        </w:rPr>
        <w:t>，重新检测并调试清楚后重新提交验收申请。在此期间，修改、安装、调试、集成、试运行直至验收所发生的一切费用由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承担且已含在</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总价中。</w:t>
      </w:r>
    </w:p>
    <w:p w14:paraId="3765C680">
      <w:pPr>
        <w:pStyle w:val="5"/>
        <w:keepNext w:val="0"/>
        <w:keepLines w:val="0"/>
        <w:pageBreakBefore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9、</w:t>
      </w:r>
      <w:r>
        <w:rPr>
          <w:rFonts w:hint="eastAsia" w:asciiTheme="minorEastAsia" w:hAnsiTheme="minorEastAsia" w:eastAsiaTheme="minorEastAsia" w:cstheme="minorEastAsia"/>
          <w:b/>
          <w:sz w:val="24"/>
          <w:szCs w:val="24"/>
        </w:rPr>
        <w:t>检验与测试</w:t>
      </w:r>
      <w:r>
        <w:rPr>
          <w:rFonts w:hint="eastAsia" w:asciiTheme="minorEastAsia" w:hAnsiTheme="minorEastAsia" w:eastAsiaTheme="minorEastAsia" w:cstheme="minorEastAsia"/>
          <w:b/>
          <w:bCs/>
          <w:kern w:val="2"/>
          <w:sz w:val="24"/>
          <w:szCs w:val="24"/>
          <w:lang w:val="en-US" w:eastAsia="zh-CN" w:bidi="ar-SA"/>
        </w:rPr>
        <w:t>：</w:t>
      </w:r>
    </w:p>
    <w:p w14:paraId="46F413FF">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应对</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的整体性能和功能进行自检，自检结果必须符合</w:t>
      </w:r>
      <w:r>
        <w:rPr>
          <w:rFonts w:hint="eastAsia" w:asciiTheme="minorEastAsia" w:hAnsiTheme="minorEastAsia" w:eastAsiaTheme="minorEastAsia" w:cstheme="minorEastAsia"/>
          <w:sz w:val="24"/>
          <w:szCs w:val="24"/>
          <w:lang w:val="en-US" w:eastAsia="zh-CN"/>
        </w:rPr>
        <w:t>网上竞价文件</w:t>
      </w:r>
      <w:r>
        <w:rPr>
          <w:rFonts w:hint="eastAsia" w:asciiTheme="minorEastAsia" w:hAnsiTheme="minorEastAsia" w:eastAsiaTheme="minorEastAsia" w:cstheme="minorEastAsia"/>
          <w:sz w:val="24"/>
          <w:szCs w:val="24"/>
        </w:rPr>
        <w:t>要求及合同中的相关条款，自检合格后，转入为期</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天的</w:t>
      </w:r>
      <w:r>
        <w:rPr>
          <w:rFonts w:hint="eastAsia" w:asciiTheme="minorEastAsia" w:hAnsiTheme="minorEastAsia" w:eastAsiaTheme="minorEastAsia" w:cstheme="minorEastAsia"/>
          <w:sz w:val="24"/>
          <w:szCs w:val="24"/>
          <w:lang w:val="en-US" w:eastAsia="zh-CN"/>
        </w:rPr>
        <w:t>测试</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测试</w:t>
      </w:r>
      <w:r>
        <w:rPr>
          <w:rFonts w:hint="eastAsia" w:asciiTheme="minorEastAsia" w:hAnsiTheme="minorEastAsia" w:eastAsiaTheme="minorEastAsia" w:cstheme="minorEastAsia"/>
          <w:sz w:val="24"/>
          <w:szCs w:val="24"/>
        </w:rPr>
        <w:t>结束后，</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应向采购人提交自检记录和</w:t>
      </w:r>
      <w:r>
        <w:rPr>
          <w:rFonts w:hint="eastAsia" w:asciiTheme="minorEastAsia" w:hAnsiTheme="minorEastAsia" w:eastAsiaTheme="minorEastAsia" w:cstheme="minorEastAsia"/>
          <w:sz w:val="24"/>
          <w:szCs w:val="24"/>
          <w:lang w:val="en-US" w:eastAsia="zh-CN"/>
        </w:rPr>
        <w:t>测试</w:t>
      </w:r>
      <w:r>
        <w:rPr>
          <w:rFonts w:hint="eastAsia" w:asciiTheme="minorEastAsia" w:hAnsiTheme="minorEastAsia" w:eastAsiaTheme="minorEastAsia" w:cstheme="minorEastAsia"/>
          <w:sz w:val="24"/>
          <w:szCs w:val="24"/>
        </w:rPr>
        <w:t>记录，并提出验收申请。</w:t>
      </w:r>
    </w:p>
    <w:p w14:paraId="6E11B907">
      <w:pPr>
        <w:pStyle w:val="5"/>
        <w:keepNext w:val="0"/>
        <w:keepLines w:val="0"/>
        <w:pageBreakBefore w:val="0"/>
        <w:numPr>
          <w:ilvl w:val="0"/>
          <w:numId w:val="0"/>
        </w:numPr>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10、售后服务要求：</w:t>
      </w:r>
    </w:p>
    <w:p w14:paraId="1AAAE950">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kern w:val="2"/>
          <w:sz w:val="24"/>
          <w:szCs w:val="24"/>
          <w:lang w:val="en-US" w:eastAsia="zh-CN" w:bidi="ar-SA"/>
        </w:rPr>
        <w:t>本项目免费保修期为1年（从服务完成到验收合格之日起算）。</w:t>
      </w:r>
      <w:r>
        <w:rPr>
          <w:rFonts w:hint="eastAsia" w:asciiTheme="minorEastAsia" w:hAnsiTheme="minorEastAsia" w:eastAsia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在质保期内接到故障通知后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4小时内响应，并在</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小时内到达现场，免费负责</w:t>
      </w:r>
      <w:r>
        <w:rPr>
          <w:rFonts w:hint="eastAsia" w:asciiTheme="minorEastAsia" w:hAnsiTheme="minorEastAsia" w:eastAsiaTheme="minorEastAsia" w:cstheme="minorEastAsia"/>
          <w:sz w:val="24"/>
          <w:szCs w:val="24"/>
          <w:lang w:val="en-US" w:eastAsia="zh-CN"/>
        </w:rPr>
        <w:t>处理对应问题</w:t>
      </w:r>
      <w:r>
        <w:rPr>
          <w:rFonts w:hint="eastAsia" w:asciiTheme="minorEastAsia" w:hAnsiTheme="minorEastAsia" w:eastAsiaTheme="minorEastAsia" w:cstheme="minorEastAsia"/>
          <w:sz w:val="24"/>
          <w:szCs w:val="24"/>
        </w:rPr>
        <w:t>。质保期外重复出现质保期内出现的故障属免费保修范围。</w:t>
      </w:r>
    </w:p>
    <w:p w14:paraId="04C247C2">
      <w:pPr>
        <w:pStyle w:val="5"/>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11、</w:t>
      </w:r>
      <w:r>
        <w:rPr>
          <w:rFonts w:hint="eastAsia" w:asciiTheme="minorEastAsia" w:hAnsiTheme="minorEastAsia" w:eastAsiaTheme="minorEastAsia" w:cstheme="minorEastAsia"/>
          <w:b/>
          <w:sz w:val="24"/>
          <w:szCs w:val="24"/>
        </w:rPr>
        <w:t>知识产权：</w:t>
      </w:r>
    </w:p>
    <w:p w14:paraId="48EAF545">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须保障采购人在享受</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提供的服务时不受到第三方关于侵犯专利权、商标权或工业设计权等知识产权的指控。如果任何第三方提出侵权指控与采购人无关，</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须与第三方交涉并承担可能发生的责任与一切费用；如采购人因此而遭致损失的，</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应赔偿该损失。</w:t>
      </w:r>
    </w:p>
    <w:p w14:paraId="4BCA5DBC">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为执行本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而提供的技术资料、软件，采购人有权进行使用，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不得主张任何费用。</w:t>
      </w:r>
    </w:p>
    <w:p w14:paraId="7DA27F9B">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z w:val="24"/>
          <w:szCs w:val="24"/>
          <w:lang w:val="en-US" w:eastAsia="zh-CN"/>
        </w:rPr>
        <w:t>12、</w:t>
      </w:r>
      <w:r>
        <w:rPr>
          <w:rFonts w:hint="eastAsia" w:asciiTheme="minorEastAsia" w:hAnsiTheme="minorEastAsia" w:eastAsiaTheme="minorEastAsia" w:cstheme="minorEastAsia"/>
          <w:b/>
          <w:sz w:val="24"/>
          <w:szCs w:val="24"/>
        </w:rPr>
        <w:t>产权与风险转移</w:t>
      </w:r>
      <w:r>
        <w:rPr>
          <w:rFonts w:hint="eastAsia" w:asciiTheme="minorEastAsia" w:hAnsiTheme="minorEastAsia" w:eastAsiaTheme="minorEastAsia" w:cstheme="minorEastAsia"/>
          <w:b/>
          <w:sz w:val="24"/>
          <w:szCs w:val="24"/>
          <w:lang w:eastAsia="zh-CN"/>
        </w:rPr>
        <w:t>：</w:t>
      </w:r>
    </w:p>
    <w:p w14:paraId="3D8E0021">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合同标的产权与风险转移遵守如下约定：</w:t>
      </w:r>
    </w:p>
    <w:p w14:paraId="02F84763">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交由承运人运输的在途货物，毁损、灭失的风险由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承担。</w:t>
      </w:r>
    </w:p>
    <w:p w14:paraId="70231170">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的产权以及损坏、灭失的风险在</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通过验收并交付使用前归属于</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通过验收并交付使用时起由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转移至采购人。</w:t>
      </w:r>
    </w:p>
    <w:p w14:paraId="2EEDF978">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highlight w:val="none"/>
        </w:rPr>
        <w:t>.3产权和风险的转移，不影响因</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履行义务不符合约定，采购人要求其承担违约责任的权利。</w:t>
      </w:r>
    </w:p>
    <w:p w14:paraId="318052B0">
      <w:pPr>
        <w:pageBreakBefore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2"/>
          <w:sz w:val="24"/>
          <w:szCs w:val="24"/>
          <w:lang w:val="en-US" w:eastAsia="zh-CN" w:bidi="ar-SA"/>
        </w:rPr>
        <w:t>13、</w:t>
      </w:r>
      <w:r>
        <w:rPr>
          <w:rFonts w:hint="eastAsia" w:asciiTheme="minorEastAsia" w:hAnsiTheme="minorEastAsia" w:eastAsiaTheme="minorEastAsia" w:cstheme="minorEastAsia"/>
          <w:b/>
          <w:sz w:val="24"/>
          <w:szCs w:val="24"/>
        </w:rPr>
        <w:t>保密：</w:t>
      </w:r>
    </w:p>
    <w:p w14:paraId="255C9E0E">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.1未经采购人事先书面同意，</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不得将由采购人为本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提供的条文、规格、计划、资料提供给与本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无关的任何第三方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不得将其用于履行本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之外的其它用途。即使向与履行本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有关的人员提供，也应注意保密并限于履行</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所必需的范围。</w:t>
      </w:r>
    </w:p>
    <w:p w14:paraId="2A18827A">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.2除了</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本身之外，上款所列举的任何物件均是采购人的财产。如果采购人有要求，</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在收到采购人的要求后10日内应将这些物件及全部复制件还给采购人，不得留存任何备份。</w:t>
      </w:r>
    </w:p>
    <w:p w14:paraId="671728E8">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违反本保密条款的，应支付合同总金额5%的违约金，并赔偿由此给采购人造成的任何损失。本条款在本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履行期间至履行结束后均有效。</w:t>
      </w:r>
    </w:p>
    <w:p w14:paraId="296B1D33">
      <w:pPr>
        <w:pStyle w:val="2"/>
        <w:pageBreakBefore w:val="0"/>
        <w:numPr>
          <w:ilvl w:val="0"/>
          <w:numId w:val="0"/>
        </w:numPr>
        <w:kinsoku/>
        <w:wordWrap/>
        <w:overflowPunct/>
        <w:topLinePunct w:val="0"/>
        <w:autoSpaceDE/>
        <w:autoSpaceDN/>
        <w:bidi w:val="0"/>
        <w:snapToGrid/>
        <w:spacing w:after="0" w:line="400" w:lineRule="exact"/>
        <w:ind w:firstLine="482" w:firstLineChars="200"/>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14、</w:t>
      </w:r>
      <w:r>
        <w:rPr>
          <w:rFonts w:hint="eastAsia" w:asciiTheme="minorEastAsia" w:hAnsiTheme="minorEastAsia" w:eastAsiaTheme="minorEastAsia" w:cstheme="minorEastAsia"/>
          <w:b/>
          <w:sz w:val="24"/>
          <w:szCs w:val="24"/>
        </w:rPr>
        <w:t>违约责任</w:t>
      </w:r>
      <w:r>
        <w:rPr>
          <w:rFonts w:hint="eastAsia" w:asciiTheme="minorEastAsia" w:hAnsiTheme="minorEastAsia" w:eastAsiaTheme="minorEastAsia" w:cstheme="minorEastAsia"/>
          <w:b/>
          <w:sz w:val="24"/>
          <w:szCs w:val="24"/>
          <w:lang w:eastAsia="zh-CN"/>
        </w:rPr>
        <w:t>：</w:t>
      </w:r>
    </w:p>
    <w:p w14:paraId="74F79F85">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交付服务</w:t>
      </w:r>
      <w:r>
        <w:rPr>
          <w:rFonts w:hint="eastAsia" w:asciiTheme="minorEastAsia" w:hAnsiTheme="minorEastAsia" w:eastAsiaTheme="minorEastAsia" w:cstheme="minorEastAsia"/>
          <w:sz w:val="24"/>
          <w:szCs w:val="24"/>
        </w:rPr>
        <w:t>不符合约定或存在缺陷的</w:t>
      </w:r>
    </w:p>
    <w:p w14:paraId="1A2E418F">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对所供</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与合同要求不符负有责任，如经检验证实不符或缺陷存在的，包括潜在的缺陷或使用不合适的原料等，采购人可根据本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有关质量保证或检验、验收的规定，选择下述一种或多种结合的方法解决索赔事宜：</w:t>
      </w:r>
    </w:p>
    <w:p w14:paraId="093F0A7E">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.1.1采购人要求</w:t>
      </w:r>
      <w:r>
        <w:rPr>
          <w:rFonts w:hint="eastAsia" w:asciiTheme="minorEastAsia" w:hAnsiTheme="minorEastAsia" w:eastAsiaTheme="minorEastAsia" w:cstheme="minorEastAsia"/>
          <w:sz w:val="24"/>
          <w:szCs w:val="24"/>
          <w:lang w:val="en-US" w:eastAsia="zh-CN"/>
        </w:rPr>
        <w:t>停止服务</w:t>
      </w:r>
      <w:r>
        <w:rPr>
          <w:rFonts w:hint="eastAsia" w:asciiTheme="minorEastAsia" w:hAnsiTheme="minorEastAsia" w:eastAsiaTheme="minorEastAsia" w:cstheme="minorEastAsia"/>
          <w:sz w:val="24"/>
          <w:szCs w:val="24"/>
        </w:rPr>
        <w:t>并解除合同的，</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应承担因</w:t>
      </w:r>
      <w:r>
        <w:rPr>
          <w:rFonts w:hint="eastAsia" w:asciiTheme="minorEastAsia" w:hAnsiTheme="minorEastAsia" w:eastAsiaTheme="minorEastAsia" w:cstheme="minorEastAsia"/>
          <w:sz w:val="24"/>
          <w:szCs w:val="24"/>
          <w:lang w:val="en-US" w:eastAsia="zh-CN"/>
        </w:rPr>
        <w:t>停止服务</w:t>
      </w:r>
      <w:r>
        <w:rPr>
          <w:rFonts w:hint="eastAsia" w:asciiTheme="minorEastAsia" w:hAnsiTheme="minorEastAsia" w:eastAsiaTheme="minorEastAsia" w:cstheme="minorEastAsia"/>
          <w:sz w:val="24"/>
          <w:szCs w:val="24"/>
        </w:rPr>
        <w:t>而发生的一切损失和费用，包括利息、银行手续费、运费、保险费、检验费、仓储费、装卸费以及为保管、维护和退回被拒收货物所发生的其它必要费用，且还应向采购人支付合同金额5%的违约金。</w:t>
      </w:r>
    </w:p>
    <w:p w14:paraId="7CA84D2B">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收到采购人书面索赔通知后7</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内，未给采购人答复的，视为索赔已被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接受。采购人将有权向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索赔相应金额的违约金，同时保留进一步要求索赔的权利。</w:t>
      </w:r>
    </w:p>
    <w:p w14:paraId="0F56C618">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.2逾期</w:t>
      </w:r>
      <w:r>
        <w:rPr>
          <w:rFonts w:hint="eastAsia" w:asciiTheme="minorEastAsia" w:hAnsiTheme="minorEastAsia" w:eastAsiaTheme="minorEastAsia" w:cstheme="minorEastAsia"/>
          <w:sz w:val="24"/>
          <w:szCs w:val="24"/>
          <w:lang w:val="en-US" w:eastAsia="zh-CN"/>
        </w:rPr>
        <w:t>提供服务</w:t>
      </w:r>
      <w:r>
        <w:rPr>
          <w:rFonts w:hint="eastAsia" w:asciiTheme="minorEastAsia" w:hAnsiTheme="minorEastAsia" w:eastAsiaTheme="minorEastAsia" w:cstheme="minorEastAsia"/>
          <w:sz w:val="24"/>
          <w:szCs w:val="24"/>
        </w:rPr>
        <w:t>及逾期付款的赔偿</w:t>
      </w:r>
    </w:p>
    <w:p w14:paraId="6EA2518F">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.2.1除不可抗力因素外，如果</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不能按照合同规定的时间提供服务，应及时以书面形式将逾期的事实、可能逾期的时间和原因通知采购人。采购人收到</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通知后，将尽快作出评价，决定是否同意延长</w:t>
      </w:r>
      <w:r>
        <w:rPr>
          <w:rFonts w:hint="eastAsia" w:asciiTheme="minorEastAsia" w:hAnsiTheme="minorEastAsia" w:eastAsiaTheme="minorEastAsia" w:cstheme="minorEastAsia"/>
          <w:sz w:val="24"/>
          <w:szCs w:val="24"/>
          <w:lang w:val="en-US" w:eastAsia="zh-CN"/>
        </w:rPr>
        <w:t>提供服务</w:t>
      </w:r>
      <w:r>
        <w:rPr>
          <w:rFonts w:hint="eastAsia" w:asciiTheme="minorEastAsia" w:hAnsiTheme="minorEastAsia" w:eastAsiaTheme="minorEastAsia" w:cstheme="minorEastAsia"/>
          <w:sz w:val="24"/>
          <w:szCs w:val="24"/>
        </w:rPr>
        <w:t>期及收取逾期赔偿费，逾期赔偿费的金额为采购人所遭受的所有损失。采购人在不影响合同项下的其它补救措施情况下，可从合同未付款中扣除逾期违约金，违约金按未交付</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价款的</w:t>
      </w: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u w:val="none"/>
          <w:lang w:val="en-US" w:eastAsia="zh-CN"/>
        </w:rPr>
        <w:t>日</w:t>
      </w:r>
      <w:r>
        <w:rPr>
          <w:rFonts w:hint="eastAsia" w:asciiTheme="minorEastAsia" w:hAnsiTheme="minorEastAsia" w:eastAsiaTheme="minorEastAsia" w:cstheme="minorEastAsia"/>
          <w:sz w:val="24"/>
          <w:szCs w:val="24"/>
        </w:rPr>
        <w:t>计算，逾期期限一旦达到</w:t>
      </w:r>
      <w:r>
        <w:rPr>
          <w:rFonts w:hint="eastAsia" w:asciiTheme="minorEastAsia" w:hAnsiTheme="minorEastAsia" w:eastAsiaTheme="minorEastAsia" w:cstheme="minorEastAsia"/>
          <w:sz w:val="24"/>
          <w:szCs w:val="24"/>
          <w:u w:val="none"/>
        </w:rPr>
        <w:t>30</w:t>
      </w:r>
      <w:r>
        <w:rPr>
          <w:rFonts w:hint="eastAsia" w:asciiTheme="minorEastAsia" w:hAnsiTheme="minorEastAsia" w:eastAsiaTheme="minorEastAsia" w:cstheme="minorEastAsia"/>
          <w:sz w:val="24"/>
          <w:szCs w:val="24"/>
          <w:u w:val="none"/>
          <w:lang w:val="en-US" w:eastAsia="zh-CN"/>
        </w:rPr>
        <w:t>日</w:t>
      </w:r>
      <w:r>
        <w:rPr>
          <w:rFonts w:hint="eastAsia" w:asciiTheme="minorEastAsia" w:hAnsiTheme="minorEastAsia" w:eastAsiaTheme="minorEastAsia" w:cstheme="minorEastAsia"/>
          <w:sz w:val="24"/>
          <w:szCs w:val="24"/>
        </w:rPr>
        <w:t>，采购人有权解除合同，且</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仍应按合同约定支付违约金。违约金的支付不影响采购人向</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要求损害赔偿。</w:t>
      </w:r>
    </w:p>
    <w:p w14:paraId="26AE51CF">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未按约定提供售后服务或给第三方造成损害的：</w:t>
      </w:r>
    </w:p>
    <w:p w14:paraId="233D24A6">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如果</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未能按照合同约定的时间提供售后服务的，每逾期1</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应向采购人支付合同总额</w:t>
      </w: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rPr>
        <w:t>的违约金，若因此给采购人造成损失的，</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还应赔偿采购人所受的损失。</w:t>
      </w:r>
    </w:p>
    <w:p w14:paraId="6D9EC56B">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保修期内，</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未尽保修义务的，采购人可自行寻求解决，</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应承担自采购人提出故障申告至采购人自行解决相应故障期间内的违约金并赔偿采购人损失，采购人由此产生的费用，由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承担。</w:t>
      </w:r>
    </w:p>
    <w:p w14:paraId="094DF163">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采购人逾期付款的（有正当拒付理由的除外）应按照逾期金额的每日</w:t>
      </w:r>
      <w:r>
        <w:rPr>
          <w:rFonts w:hint="eastAsia" w:asciiTheme="minorEastAsia" w:hAnsiTheme="minorEastAsia" w:eastAsiaTheme="minorEastAsia" w:cstheme="minorEastAsia"/>
          <w:sz w:val="24"/>
          <w:szCs w:val="24"/>
          <w:u w:val="none"/>
        </w:rPr>
        <w:t>0.5％</w:t>
      </w:r>
      <w:r>
        <w:rPr>
          <w:rFonts w:hint="eastAsia" w:asciiTheme="minorEastAsia" w:hAnsiTheme="minorEastAsia" w:eastAsiaTheme="minorEastAsia" w:cstheme="minorEastAsia"/>
          <w:sz w:val="24"/>
          <w:szCs w:val="24"/>
        </w:rPr>
        <w:t>支付逾期付款违约金。</w:t>
      </w:r>
    </w:p>
    <w:p w14:paraId="3329BF31">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管理不当，</w:t>
      </w:r>
      <w:r>
        <w:rPr>
          <w:rFonts w:hint="eastAsia" w:asciiTheme="minorEastAsia" w:hAnsiTheme="minorEastAsia" w:eastAsiaTheme="minorEastAsia" w:cstheme="minorEastAsia"/>
          <w:sz w:val="24"/>
          <w:szCs w:val="24"/>
          <w:highlight w:val="none"/>
        </w:rPr>
        <w:t>致使货物的生产、包装、仓储、运输、装卸、安装、调试及验收过程中导致第三方权益受损的（如安全事故），</w:t>
      </w:r>
      <w:r>
        <w:rPr>
          <w:rFonts w:hint="eastAsia" w:asciiTheme="minorEastAsia" w:hAnsiTheme="minorEastAsia" w:eastAsiaTheme="minorEastAsia" w:cstheme="minorEastAsia"/>
          <w:sz w:val="24"/>
          <w:szCs w:val="24"/>
          <w:highlight w:val="none"/>
          <w:lang w:eastAsia="zh-CN"/>
        </w:rPr>
        <w:t>成交供</w:t>
      </w:r>
      <w:r>
        <w:rPr>
          <w:rFonts w:hint="eastAsia" w:asciiTheme="minorEastAsia" w:hAnsiTheme="minorEastAsia" w:eastAsiaTheme="minorEastAsia" w:cstheme="minorEastAsia"/>
          <w:sz w:val="24"/>
          <w:szCs w:val="24"/>
          <w:lang w:eastAsia="zh-CN"/>
        </w:rPr>
        <w:t>应商</w:t>
      </w:r>
      <w:r>
        <w:rPr>
          <w:rFonts w:hint="eastAsia" w:asciiTheme="minorEastAsia" w:hAnsiTheme="minorEastAsia" w:eastAsiaTheme="minorEastAsia" w:cstheme="minorEastAsia"/>
          <w:sz w:val="24"/>
          <w:szCs w:val="24"/>
        </w:rPr>
        <w:t>除应赔偿第三方相应的损失外，还应向采购人支付本合同总额5%的违约金。</w:t>
      </w:r>
    </w:p>
    <w:p w14:paraId="169EF537">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产品在安装及后续运行过程中，若因为产品质量问题导致人员受伤，</w:t>
      </w:r>
      <w:r>
        <w:rPr>
          <w:rFonts w:hint="eastAsia" w:asciiTheme="minorEastAsia" w:hAnsiTheme="minorEastAsia" w:eastAsiaTheme="minorEastAsia" w:cstheme="minorEastAsia"/>
          <w:sz w:val="24"/>
          <w:szCs w:val="24"/>
        </w:rPr>
        <w:t>相关责任由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承担，若因此造成采购人损失的，采购人有权向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要求赔偿（包括但不限于赔偿损失、诉讼费、律师费等）。</w:t>
      </w:r>
    </w:p>
    <w:p w14:paraId="4B8EEB97">
      <w:pPr>
        <w:pStyle w:val="19"/>
        <w:pageBreakBefore w:val="0"/>
        <w:kinsoku/>
        <w:wordWrap/>
        <w:overflowPunct/>
        <w:topLinePunct w:val="0"/>
        <w:autoSpaceDE/>
        <w:autoSpaceDN/>
        <w:bidi w:val="0"/>
        <w:snapToGrid/>
        <w:spacing w:after="0" w:line="400" w:lineRule="exact"/>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15、</w:t>
      </w:r>
      <w:r>
        <w:rPr>
          <w:rFonts w:hint="eastAsia" w:asciiTheme="minorEastAsia" w:hAnsiTheme="minorEastAsia" w:eastAsiaTheme="minorEastAsia" w:cstheme="minorEastAsia"/>
          <w:b/>
          <w:sz w:val="24"/>
          <w:szCs w:val="24"/>
        </w:rPr>
        <w:t>不可抗力</w:t>
      </w:r>
      <w:r>
        <w:rPr>
          <w:rFonts w:hint="eastAsia" w:asciiTheme="minorEastAsia" w:hAnsiTheme="minorEastAsia" w:eastAsiaTheme="minorEastAsia" w:cstheme="minorEastAsia"/>
          <w:b/>
          <w:sz w:val="24"/>
          <w:szCs w:val="24"/>
          <w:lang w:eastAsia="zh-CN"/>
        </w:rPr>
        <w:t>：</w:t>
      </w:r>
    </w:p>
    <w:p w14:paraId="19853A29">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w:t>
      </w:r>
    </w:p>
    <w:p w14:paraId="3D1CEAE5">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.2受阻一方应在不可抗力事件发生后，尽快用电报、传真或电传通知对方，并于事件发生后14</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内将有关部门出具的证明文件用特快专递或挂号信寄给对方审阅确认。一旦不可抗力事件的影响持续60</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以上，双方应通过友好协商方式在合理的时间内达成进一步履行合同的协议或解除合同。但遭受不可抗力的一方应在不可抗力消除后的次日立即恢复履行。</w:t>
      </w:r>
    </w:p>
    <w:p w14:paraId="78DDAF77">
      <w:pPr>
        <w:pageBreakBefore w:val="0"/>
        <w:tabs>
          <w:tab w:val="left" w:pos="0"/>
        </w:tabs>
        <w:kinsoku/>
        <w:wordWrap/>
        <w:overflowPunct/>
        <w:topLinePunct w:val="0"/>
        <w:autoSpaceDE/>
        <w:autoSpaceDN/>
        <w:bidi w:val="0"/>
        <w:adjustRightInd w:val="0"/>
        <w:snapToGrid/>
        <w:spacing w:line="400" w:lineRule="exact"/>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16、争议处理：</w:t>
      </w:r>
    </w:p>
    <w:p w14:paraId="08572001">
      <w:pPr>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sz w:val="24"/>
          <w:szCs w:val="24"/>
        </w:rPr>
        <w:t>因本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或与本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有关的一切事项发生争议，由双方友好协商解决。协商不成的，任何一方均可向采购人所在地有管辖权的人民法院提起诉讼。</w:t>
      </w:r>
    </w:p>
    <w:p w14:paraId="26E81238">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17</w:t>
      </w:r>
      <w:r>
        <w:rPr>
          <w:rFonts w:hint="eastAsia" w:asciiTheme="minorEastAsia" w:hAnsiTheme="minorEastAsia" w:eastAsiaTheme="minorEastAsia" w:cstheme="minorEastAsia"/>
          <w:b/>
          <w:bCs/>
          <w:sz w:val="24"/>
          <w:szCs w:val="24"/>
        </w:rPr>
        <w:t>、其他事项</w:t>
      </w:r>
      <w:r>
        <w:rPr>
          <w:rFonts w:hint="eastAsia" w:asciiTheme="minorEastAsia" w:hAnsiTheme="minorEastAsia" w:eastAsiaTheme="minorEastAsia" w:cstheme="minorEastAsia"/>
          <w:b/>
          <w:bCs/>
          <w:sz w:val="24"/>
          <w:szCs w:val="24"/>
          <w:lang w:eastAsia="zh-CN"/>
        </w:rPr>
        <w:t>：</w:t>
      </w:r>
    </w:p>
    <w:p w14:paraId="3DF70696">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17.1供应商成交后，不得以任何理由将本项目分包、转包给第三方。</w:t>
      </w:r>
    </w:p>
    <w:p w14:paraId="75739AAD">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17.2若出现有关法律、法规和规章有强制性规定但网上竞价文件未列明的情形，则供应商应按照有关法律、法规和规章强制性规定执行。</w:t>
      </w:r>
    </w:p>
    <w:p w14:paraId="62771AC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17.3本竞价文件未明确的其他约定事项或条款，待采购人与成交供应商签订合同时，由双方协商订立。</w:t>
      </w:r>
    </w:p>
    <w:p w14:paraId="7473D12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17.4供应商不得存在虚假应标谋取中标等行为，一经发现将取消其成交资格，并对其追究相关法律责任。若第一成交候选人因不可抗力或自身原因提出不能履行合同，采购人可以重新招标。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5"/>
        <w:spacing w:line="360" w:lineRule="auto"/>
        <w:rPr>
          <w:color w:val="auto"/>
          <w:highlight w:val="none"/>
        </w:rPr>
      </w:pPr>
    </w:p>
    <w:p w14:paraId="1C9B7D09">
      <w:pPr>
        <w:spacing w:line="360" w:lineRule="auto"/>
        <w:rPr>
          <w:color w:val="auto"/>
          <w:highlight w:val="none"/>
        </w:rPr>
      </w:pPr>
    </w:p>
    <w:p w14:paraId="6800853C">
      <w:pPr>
        <w:pStyle w:val="5"/>
        <w:spacing w:line="360" w:lineRule="auto"/>
        <w:rPr>
          <w:color w:val="auto"/>
          <w:highlight w:val="none"/>
        </w:rPr>
      </w:pPr>
    </w:p>
    <w:p w14:paraId="5A7E61FF">
      <w:pPr>
        <w:spacing w:line="360" w:lineRule="auto"/>
        <w:rPr>
          <w:color w:val="auto"/>
          <w:highlight w:val="none"/>
        </w:rPr>
      </w:pPr>
    </w:p>
    <w:p w14:paraId="41E83152">
      <w:pPr>
        <w:pStyle w:val="6"/>
        <w:spacing w:line="360" w:lineRule="auto"/>
        <w:rPr>
          <w:rFonts w:hint="default"/>
          <w:color w:val="auto"/>
          <w:highlight w:val="none"/>
        </w:rPr>
      </w:pPr>
    </w:p>
    <w:p w14:paraId="55C069FF">
      <w:pPr>
        <w:spacing w:line="360" w:lineRule="auto"/>
        <w:rPr>
          <w:color w:val="auto"/>
          <w:highlight w:val="none"/>
        </w:rPr>
      </w:pPr>
    </w:p>
    <w:p w14:paraId="20368753">
      <w:pPr>
        <w:pStyle w:val="6"/>
        <w:spacing w:line="360" w:lineRule="auto"/>
        <w:rPr>
          <w:rFonts w:hint="default"/>
          <w:color w:val="auto"/>
          <w:highlight w:val="none"/>
        </w:rPr>
      </w:pPr>
    </w:p>
    <w:p w14:paraId="2507E28E">
      <w:pPr>
        <w:spacing w:line="360" w:lineRule="auto"/>
        <w:rPr>
          <w:color w:val="auto"/>
          <w:highlight w:val="none"/>
        </w:rPr>
      </w:pPr>
    </w:p>
    <w:p w14:paraId="68F7C44C">
      <w:pPr>
        <w:pStyle w:val="6"/>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
        <w:spacing w:line="360" w:lineRule="auto"/>
        <w:ind w:firstLine="210"/>
        <w:rPr>
          <w:color w:val="auto"/>
          <w:highlight w:val="none"/>
        </w:rPr>
      </w:pPr>
    </w:p>
    <w:p w14:paraId="6326FD37">
      <w:pPr>
        <w:pStyle w:val="7"/>
        <w:spacing w:line="360" w:lineRule="auto"/>
        <w:rPr>
          <w:color w:val="auto"/>
          <w:highlight w:val="none"/>
        </w:rPr>
      </w:pPr>
    </w:p>
    <w:p w14:paraId="3FC45419">
      <w:pPr>
        <w:pStyle w:val="8"/>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1"/>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1"/>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1"/>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1"/>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1"/>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1"/>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5"/>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8"/>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8"/>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8"/>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8"/>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8"/>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8"/>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8"/>
        <w:spacing w:before="0" w:beforeAutospacing="0" w:after="0" w:afterAutospacing="0" w:line="360" w:lineRule="auto"/>
        <w:rPr>
          <w:color w:val="auto"/>
          <w:highlight w:val="none"/>
        </w:rPr>
      </w:pPr>
      <w:r>
        <w:rPr>
          <w:rFonts w:hint="eastAsia"/>
          <w:color w:val="auto"/>
          <w:highlight w:val="none"/>
        </w:rPr>
        <w:t> </w:t>
      </w:r>
    </w:p>
    <w:p w14:paraId="101C9A8E">
      <w:pPr>
        <w:pStyle w:val="18"/>
        <w:spacing w:before="0" w:beforeAutospacing="0" w:after="0" w:afterAutospacing="0" w:line="360" w:lineRule="auto"/>
        <w:rPr>
          <w:color w:val="auto"/>
          <w:highlight w:val="none"/>
        </w:rPr>
      </w:pPr>
      <w:r>
        <w:rPr>
          <w:rFonts w:hint="eastAsia"/>
          <w:color w:val="auto"/>
          <w:highlight w:val="none"/>
        </w:rPr>
        <w:t>授权方</w:t>
      </w:r>
    </w:p>
    <w:p w14:paraId="6CEE7BDA">
      <w:pPr>
        <w:pStyle w:val="18"/>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8"/>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8"/>
        <w:spacing w:before="0" w:beforeAutospacing="0" w:after="0" w:afterAutospacing="0" w:line="360" w:lineRule="auto"/>
        <w:rPr>
          <w:color w:val="auto"/>
          <w:highlight w:val="none"/>
        </w:rPr>
      </w:pPr>
      <w:r>
        <w:rPr>
          <w:rFonts w:hint="eastAsia"/>
          <w:color w:val="auto"/>
          <w:highlight w:val="none"/>
        </w:rPr>
        <w:t> </w:t>
      </w:r>
    </w:p>
    <w:p w14:paraId="3FC63835">
      <w:pPr>
        <w:pStyle w:val="18"/>
        <w:spacing w:before="0" w:beforeAutospacing="0" w:after="0" w:afterAutospacing="0" w:line="360" w:lineRule="auto"/>
        <w:rPr>
          <w:color w:val="auto"/>
          <w:highlight w:val="none"/>
        </w:rPr>
      </w:pPr>
      <w:r>
        <w:rPr>
          <w:rFonts w:hint="eastAsia"/>
          <w:color w:val="auto"/>
          <w:highlight w:val="none"/>
        </w:rPr>
        <w:t>接受授权方</w:t>
      </w:r>
    </w:p>
    <w:p w14:paraId="2AFDCDD4">
      <w:pPr>
        <w:pStyle w:val="18"/>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8"/>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8"/>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8"/>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6"/>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6"/>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676"/>
        <w:gridCol w:w="1785"/>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676"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785"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p>
        </w:tc>
        <w:tc>
          <w:tcPr>
            <w:tcW w:w="1676" w:type="dxa"/>
            <w:vAlign w:val="center"/>
          </w:tcPr>
          <w:p w14:paraId="03E2BE4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785"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676" w:type="dxa"/>
            <w:vAlign w:val="center"/>
          </w:tcPr>
          <w:p w14:paraId="138BAC3E">
            <w:pPr>
              <w:spacing w:line="360" w:lineRule="auto"/>
              <w:jc w:val="center"/>
              <w:rPr>
                <w:rFonts w:ascii="宋体" w:hAnsi="宋体" w:cs="宋体"/>
                <w:color w:val="auto"/>
                <w:sz w:val="24"/>
                <w:highlight w:val="none"/>
              </w:rPr>
            </w:pPr>
          </w:p>
        </w:tc>
        <w:tc>
          <w:tcPr>
            <w:tcW w:w="1785"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9"/>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8"/>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8"/>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8"/>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8"/>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8"/>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8"/>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8"/>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8"/>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8"/>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8"/>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8"/>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8"/>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8"/>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8"/>
              <w:wordWrap w:val="0"/>
              <w:spacing w:before="0" w:beforeAutospacing="0" w:after="0" w:afterAutospacing="0" w:line="360" w:lineRule="auto"/>
              <w:jc w:val="center"/>
              <w:rPr>
                <w:color w:val="auto"/>
                <w:highlight w:val="none"/>
              </w:rPr>
            </w:pPr>
          </w:p>
        </w:tc>
      </w:tr>
    </w:tbl>
    <w:p w14:paraId="4AC9942A">
      <w:pPr>
        <w:pStyle w:val="18"/>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8"/>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8"/>
        <w:spacing w:line="360" w:lineRule="auto"/>
        <w:ind w:left="0" w:leftChars="0"/>
        <w:rPr>
          <w:rFonts w:ascii="宋体" w:hAnsi="宋体" w:cs="宋体"/>
          <w:color w:val="auto"/>
          <w:sz w:val="24"/>
          <w:highlight w:val="none"/>
        </w:rPr>
      </w:pPr>
    </w:p>
    <w:p w14:paraId="1119D3D2">
      <w:pPr>
        <w:pStyle w:val="9"/>
        <w:spacing w:line="360" w:lineRule="auto"/>
        <w:rPr>
          <w:rFonts w:ascii="宋体" w:hAnsi="宋体" w:cs="宋体"/>
          <w:color w:val="auto"/>
          <w:sz w:val="24"/>
          <w:highlight w:val="none"/>
        </w:rPr>
      </w:pPr>
    </w:p>
    <w:p w14:paraId="5321318A">
      <w:pPr>
        <w:pStyle w:val="9"/>
        <w:spacing w:line="360" w:lineRule="auto"/>
        <w:rPr>
          <w:rFonts w:ascii="宋体" w:hAnsi="宋体" w:cs="宋体"/>
          <w:color w:val="auto"/>
          <w:sz w:val="24"/>
          <w:highlight w:val="none"/>
        </w:rPr>
      </w:pPr>
    </w:p>
    <w:p w14:paraId="3C82014B">
      <w:pPr>
        <w:pStyle w:val="9"/>
        <w:spacing w:line="360" w:lineRule="auto"/>
        <w:rPr>
          <w:rFonts w:ascii="宋体" w:hAnsi="宋体" w:cs="宋体"/>
          <w:color w:val="auto"/>
          <w:sz w:val="24"/>
          <w:highlight w:val="none"/>
        </w:rPr>
      </w:pPr>
    </w:p>
    <w:p w14:paraId="3726D4AE">
      <w:pPr>
        <w:pStyle w:val="9"/>
        <w:spacing w:line="360" w:lineRule="auto"/>
        <w:rPr>
          <w:rFonts w:ascii="宋体" w:hAnsi="宋体" w:cs="宋体"/>
          <w:color w:val="auto"/>
          <w:sz w:val="24"/>
          <w:highlight w:val="none"/>
        </w:rPr>
      </w:pPr>
    </w:p>
    <w:p w14:paraId="0F16B34A">
      <w:pPr>
        <w:pStyle w:val="9"/>
        <w:spacing w:line="360" w:lineRule="auto"/>
        <w:rPr>
          <w:rFonts w:ascii="宋体" w:hAnsi="宋体" w:cs="宋体"/>
          <w:color w:val="auto"/>
          <w:sz w:val="24"/>
          <w:highlight w:val="none"/>
        </w:rPr>
      </w:pPr>
    </w:p>
    <w:p w14:paraId="73F56BF6">
      <w:pPr>
        <w:pStyle w:val="9"/>
        <w:spacing w:line="360" w:lineRule="auto"/>
        <w:rPr>
          <w:rFonts w:ascii="宋体" w:hAnsi="宋体" w:cs="宋体"/>
          <w:color w:val="auto"/>
          <w:sz w:val="24"/>
          <w:highlight w:val="none"/>
        </w:rPr>
      </w:pPr>
    </w:p>
    <w:p w14:paraId="61FA2276">
      <w:pPr>
        <w:pStyle w:val="9"/>
        <w:spacing w:line="360" w:lineRule="auto"/>
        <w:rPr>
          <w:rFonts w:ascii="宋体" w:hAnsi="宋体" w:cs="宋体"/>
          <w:color w:val="auto"/>
          <w:sz w:val="24"/>
          <w:highlight w:val="none"/>
        </w:rPr>
      </w:pPr>
    </w:p>
    <w:p w14:paraId="468F1230">
      <w:pPr>
        <w:pStyle w:val="9"/>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8"/>
        <w:spacing w:line="360" w:lineRule="auto"/>
        <w:ind w:left="0" w:leftChars="0"/>
        <w:rPr>
          <w:rFonts w:ascii="宋体" w:hAnsi="宋体" w:cs="宋体"/>
          <w:b/>
          <w:bCs/>
          <w:color w:val="auto"/>
          <w:sz w:val="28"/>
          <w:szCs w:val="28"/>
          <w:highlight w:val="none"/>
        </w:rPr>
      </w:pPr>
    </w:p>
    <w:p w14:paraId="2C71186F">
      <w:pPr>
        <w:pStyle w:val="9"/>
        <w:spacing w:line="360" w:lineRule="auto"/>
        <w:rPr>
          <w:rFonts w:ascii="宋体" w:hAnsi="宋体" w:cs="宋体"/>
          <w:b/>
          <w:bCs/>
          <w:color w:val="auto"/>
          <w:sz w:val="28"/>
          <w:szCs w:val="28"/>
          <w:highlight w:val="none"/>
        </w:rPr>
      </w:pPr>
    </w:p>
    <w:p w14:paraId="0776CC2D">
      <w:pPr>
        <w:pStyle w:val="9"/>
        <w:spacing w:line="360" w:lineRule="auto"/>
        <w:rPr>
          <w:rFonts w:ascii="宋体" w:hAnsi="宋体" w:cs="宋体"/>
          <w:b/>
          <w:bCs/>
          <w:color w:val="auto"/>
          <w:sz w:val="28"/>
          <w:szCs w:val="28"/>
          <w:highlight w:val="none"/>
        </w:rPr>
      </w:pPr>
    </w:p>
    <w:p w14:paraId="79EF7A83">
      <w:pPr>
        <w:pStyle w:val="8"/>
        <w:spacing w:line="360" w:lineRule="auto"/>
        <w:ind w:left="0" w:leftChars="0"/>
        <w:rPr>
          <w:rFonts w:ascii="宋体" w:hAnsi="宋体" w:cs="宋体"/>
          <w:b/>
          <w:bCs/>
          <w:color w:val="auto"/>
          <w:sz w:val="28"/>
          <w:szCs w:val="28"/>
          <w:highlight w:val="none"/>
        </w:rPr>
      </w:pPr>
    </w:p>
    <w:p w14:paraId="06B2F9FD">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9"/>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9"/>
        <w:spacing w:line="360" w:lineRule="auto"/>
        <w:rPr>
          <w:rFonts w:ascii="宋体" w:hAnsi="宋体" w:cs="宋体"/>
          <w:b/>
          <w:bCs/>
          <w:color w:val="auto"/>
          <w:sz w:val="28"/>
          <w:szCs w:val="28"/>
          <w:highlight w:val="none"/>
        </w:rPr>
      </w:pPr>
    </w:p>
    <w:p w14:paraId="31F6CFBA">
      <w:pPr>
        <w:pStyle w:val="8"/>
        <w:spacing w:line="360" w:lineRule="auto"/>
        <w:ind w:left="0" w:leftChars="0"/>
        <w:jc w:val="center"/>
        <w:rPr>
          <w:rFonts w:ascii="宋体" w:hAnsi="宋体" w:cs="宋体"/>
          <w:b/>
          <w:bCs/>
          <w:color w:val="auto"/>
          <w:sz w:val="28"/>
          <w:szCs w:val="28"/>
          <w:highlight w:val="none"/>
        </w:rPr>
      </w:pPr>
    </w:p>
    <w:p w14:paraId="37897154">
      <w:pPr>
        <w:pStyle w:val="8"/>
        <w:spacing w:line="360" w:lineRule="auto"/>
        <w:ind w:left="0" w:leftChars="0"/>
        <w:jc w:val="center"/>
        <w:rPr>
          <w:rFonts w:ascii="宋体" w:hAnsi="宋体" w:cs="宋体"/>
          <w:b/>
          <w:bCs/>
          <w:color w:val="auto"/>
          <w:sz w:val="28"/>
          <w:szCs w:val="28"/>
          <w:highlight w:val="none"/>
        </w:rPr>
      </w:pPr>
    </w:p>
    <w:p w14:paraId="19D064AE">
      <w:pPr>
        <w:pStyle w:val="8"/>
        <w:spacing w:line="360" w:lineRule="auto"/>
        <w:ind w:left="0" w:leftChars="0"/>
        <w:jc w:val="center"/>
        <w:rPr>
          <w:rFonts w:ascii="宋体" w:hAnsi="宋体" w:cs="宋体"/>
          <w:b/>
          <w:bCs/>
          <w:color w:val="auto"/>
          <w:sz w:val="28"/>
          <w:szCs w:val="28"/>
          <w:highlight w:val="none"/>
        </w:rPr>
      </w:pPr>
    </w:p>
    <w:p w14:paraId="0ED390FA">
      <w:pPr>
        <w:pStyle w:val="8"/>
        <w:spacing w:line="360" w:lineRule="auto"/>
        <w:ind w:left="0" w:leftChars="0"/>
        <w:jc w:val="center"/>
        <w:rPr>
          <w:rFonts w:ascii="宋体" w:hAnsi="宋体" w:cs="宋体"/>
          <w:b/>
          <w:bCs/>
          <w:color w:val="auto"/>
          <w:sz w:val="28"/>
          <w:szCs w:val="28"/>
          <w:highlight w:val="none"/>
        </w:rPr>
      </w:pPr>
    </w:p>
    <w:p w14:paraId="3C84BE07">
      <w:pPr>
        <w:pStyle w:val="8"/>
        <w:spacing w:line="360" w:lineRule="auto"/>
        <w:ind w:left="0" w:leftChars="0"/>
        <w:jc w:val="center"/>
        <w:rPr>
          <w:rFonts w:ascii="宋体" w:hAnsi="宋体" w:cs="宋体"/>
          <w:b/>
          <w:bCs/>
          <w:color w:val="auto"/>
          <w:sz w:val="28"/>
          <w:szCs w:val="28"/>
          <w:highlight w:val="none"/>
        </w:rPr>
      </w:pPr>
    </w:p>
    <w:p w14:paraId="64E4F662">
      <w:pPr>
        <w:pStyle w:val="8"/>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8"/>
        <w:spacing w:line="360" w:lineRule="auto"/>
        <w:ind w:left="0" w:leftChars="0"/>
        <w:jc w:val="center"/>
        <w:rPr>
          <w:rFonts w:ascii="宋体" w:hAnsi="宋体" w:cs="宋体"/>
          <w:b/>
          <w:bCs/>
          <w:color w:val="auto"/>
          <w:sz w:val="28"/>
          <w:szCs w:val="28"/>
          <w:highlight w:val="none"/>
        </w:rPr>
      </w:pPr>
    </w:p>
    <w:p w14:paraId="7CEA87EF">
      <w:pPr>
        <w:pStyle w:val="8"/>
        <w:spacing w:line="360" w:lineRule="auto"/>
        <w:ind w:left="0" w:leftChars="0"/>
        <w:jc w:val="center"/>
        <w:rPr>
          <w:rFonts w:ascii="宋体" w:hAnsi="宋体" w:cs="宋体"/>
          <w:b/>
          <w:bCs/>
          <w:color w:val="auto"/>
          <w:sz w:val="28"/>
          <w:szCs w:val="28"/>
          <w:highlight w:val="none"/>
        </w:rPr>
      </w:pPr>
    </w:p>
    <w:p w14:paraId="331B2308">
      <w:pPr>
        <w:pStyle w:val="8"/>
        <w:spacing w:line="360" w:lineRule="auto"/>
        <w:ind w:left="0" w:leftChars="0"/>
        <w:jc w:val="center"/>
        <w:rPr>
          <w:rFonts w:ascii="宋体" w:hAnsi="宋体" w:cs="宋体"/>
          <w:b/>
          <w:bCs/>
          <w:color w:val="auto"/>
          <w:sz w:val="28"/>
          <w:szCs w:val="28"/>
          <w:highlight w:val="none"/>
        </w:rPr>
      </w:pPr>
    </w:p>
    <w:p w14:paraId="574F2A9B">
      <w:pPr>
        <w:pStyle w:val="8"/>
        <w:spacing w:line="360" w:lineRule="auto"/>
        <w:ind w:left="0" w:leftChars="0"/>
        <w:jc w:val="center"/>
        <w:rPr>
          <w:rFonts w:ascii="宋体" w:hAnsi="宋体" w:cs="宋体"/>
          <w:b/>
          <w:bCs/>
          <w:color w:val="auto"/>
          <w:sz w:val="28"/>
          <w:szCs w:val="28"/>
          <w:highlight w:val="none"/>
        </w:rPr>
      </w:pPr>
    </w:p>
    <w:p w14:paraId="3DB00B5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9"/>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9"/>
        <w:spacing w:line="360" w:lineRule="auto"/>
        <w:rPr>
          <w:rFonts w:ascii="宋体" w:hAnsi="宋体" w:cs="宋体"/>
          <w:b/>
          <w:bCs/>
          <w:color w:val="auto"/>
          <w:sz w:val="28"/>
          <w:szCs w:val="28"/>
          <w:highlight w:val="none"/>
        </w:rPr>
      </w:pPr>
    </w:p>
    <w:p w14:paraId="22A9EDD9">
      <w:pPr>
        <w:pStyle w:val="9"/>
        <w:spacing w:line="360" w:lineRule="auto"/>
        <w:rPr>
          <w:color w:val="auto"/>
          <w:highlight w:val="none"/>
        </w:rPr>
      </w:pPr>
    </w:p>
    <w:p w14:paraId="01C7C78E">
      <w:pPr>
        <w:pStyle w:val="9"/>
        <w:spacing w:line="360" w:lineRule="auto"/>
        <w:rPr>
          <w:color w:val="auto"/>
          <w:highlight w:val="none"/>
        </w:rPr>
      </w:pPr>
    </w:p>
    <w:p w14:paraId="35556AE7">
      <w:pPr>
        <w:pStyle w:val="9"/>
        <w:spacing w:line="360" w:lineRule="auto"/>
        <w:rPr>
          <w:color w:val="auto"/>
          <w:highlight w:val="none"/>
        </w:rPr>
      </w:pPr>
    </w:p>
    <w:p w14:paraId="4E1A6E85">
      <w:pPr>
        <w:pStyle w:val="9"/>
        <w:spacing w:line="360" w:lineRule="auto"/>
        <w:rPr>
          <w:color w:val="auto"/>
          <w:highlight w:val="none"/>
        </w:rPr>
      </w:pPr>
    </w:p>
    <w:p w14:paraId="46AD2750">
      <w:pPr>
        <w:pStyle w:val="9"/>
        <w:spacing w:line="360" w:lineRule="auto"/>
        <w:rPr>
          <w:color w:val="auto"/>
          <w:highlight w:val="none"/>
        </w:rPr>
      </w:pPr>
    </w:p>
    <w:p w14:paraId="1913FC5F">
      <w:pPr>
        <w:pStyle w:val="9"/>
        <w:spacing w:line="360" w:lineRule="auto"/>
        <w:rPr>
          <w:color w:val="auto"/>
          <w:highlight w:val="none"/>
        </w:rPr>
      </w:pPr>
    </w:p>
    <w:p w14:paraId="61F60254">
      <w:pPr>
        <w:pStyle w:val="9"/>
        <w:spacing w:line="360" w:lineRule="auto"/>
        <w:rPr>
          <w:color w:val="auto"/>
          <w:highlight w:val="none"/>
        </w:rPr>
      </w:pPr>
    </w:p>
    <w:p w14:paraId="02CCF8EF">
      <w:pPr>
        <w:pStyle w:val="9"/>
        <w:spacing w:line="360" w:lineRule="auto"/>
        <w:rPr>
          <w:color w:val="auto"/>
          <w:highlight w:val="none"/>
        </w:rPr>
      </w:pPr>
    </w:p>
    <w:p w14:paraId="40D9D294">
      <w:pPr>
        <w:pStyle w:val="9"/>
        <w:spacing w:line="360" w:lineRule="auto"/>
        <w:rPr>
          <w:color w:val="auto"/>
          <w:highlight w:val="none"/>
        </w:rPr>
      </w:pPr>
    </w:p>
    <w:p w14:paraId="26CFA76D">
      <w:pPr>
        <w:pStyle w:val="9"/>
        <w:spacing w:line="360" w:lineRule="auto"/>
        <w:rPr>
          <w:color w:val="auto"/>
          <w:highlight w:val="none"/>
        </w:rPr>
      </w:pPr>
    </w:p>
    <w:p w14:paraId="6236DE25">
      <w:pPr>
        <w:pStyle w:val="9"/>
        <w:spacing w:line="360" w:lineRule="auto"/>
        <w:rPr>
          <w:color w:val="auto"/>
          <w:highlight w:val="none"/>
        </w:rPr>
      </w:pPr>
    </w:p>
    <w:p w14:paraId="3DC90531">
      <w:pPr>
        <w:pStyle w:val="9"/>
        <w:spacing w:line="360" w:lineRule="auto"/>
        <w:rPr>
          <w:color w:val="auto"/>
          <w:highlight w:val="none"/>
        </w:rPr>
      </w:pPr>
    </w:p>
    <w:p w14:paraId="6810E63F">
      <w:pPr>
        <w:pStyle w:val="9"/>
        <w:spacing w:line="360" w:lineRule="auto"/>
        <w:rPr>
          <w:color w:val="auto"/>
          <w:highlight w:val="none"/>
        </w:rPr>
      </w:pPr>
    </w:p>
    <w:p w14:paraId="2D859747">
      <w:pPr>
        <w:pStyle w:val="9"/>
        <w:spacing w:line="360" w:lineRule="auto"/>
        <w:rPr>
          <w:color w:val="auto"/>
          <w:highlight w:val="none"/>
        </w:rPr>
      </w:pPr>
    </w:p>
    <w:p w14:paraId="1A9B0A73">
      <w:pPr>
        <w:pStyle w:val="9"/>
        <w:spacing w:line="360" w:lineRule="auto"/>
        <w:rPr>
          <w:color w:val="auto"/>
          <w:highlight w:val="none"/>
        </w:rPr>
      </w:pPr>
    </w:p>
    <w:p w14:paraId="09BAEE9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7"/>
        <w:spacing w:line="360" w:lineRule="auto"/>
        <w:rPr>
          <w:rFonts w:ascii="楷体_GB2312" w:eastAsia="楷体_GB2312"/>
          <w:b/>
          <w:color w:val="auto"/>
          <w:sz w:val="40"/>
          <w:szCs w:val="40"/>
          <w:highlight w:val="none"/>
        </w:rPr>
      </w:pPr>
    </w:p>
    <w:p w14:paraId="5AB94BE7">
      <w:pPr>
        <w:pStyle w:val="8"/>
        <w:spacing w:line="360" w:lineRule="auto"/>
        <w:rPr>
          <w:rFonts w:ascii="楷体_GB2312" w:eastAsia="楷体_GB2312"/>
          <w:b/>
          <w:color w:val="auto"/>
          <w:sz w:val="40"/>
          <w:szCs w:val="40"/>
          <w:highlight w:val="none"/>
        </w:rPr>
      </w:pPr>
    </w:p>
    <w:p w14:paraId="2A9355F0">
      <w:pPr>
        <w:pStyle w:val="7"/>
        <w:spacing w:line="360" w:lineRule="auto"/>
        <w:rPr>
          <w:rFonts w:ascii="楷体_GB2312" w:eastAsia="楷体_GB2312"/>
          <w:b/>
          <w:color w:val="auto"/>
          <w:sz w:val="40"/>
          <w:szCs w:val="40"/>
          <w:highlight w:val="none"/>
        </w:rPr>
      </w:pPr>
    </w:p>
    <w:p w14:paraId="68ED7677">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9"/>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8"/>
        <w:spacing w:line="360" w:lineRule="auto"/>
        <w:rPr>
          <w:rFonts w:ascii="楷体_GB2312" w:eastAsia="楷体_GB2312"/>
          <w:b/>
          <w:color w:val="auto"/>
          <w:sz w:val="44"/>
          <w:szCs w:val="44"/>
          <w:highlight w:val="none"/>
        </w:rPr>
      </w:pPr>
    </w:p>
    <w:p w14:paraId="759833BB">
      <w:pPr>
        <w:pStyle w:val="7"/>
        <w:spacing w:line="360" w:lineRule="auto"/>
        <w:rPr>
          <w:rFonts w:ascii="楷体_GB2312" w:eastAsia="楷体_GB2312"/>
          <w:b/>
          <w:color w:val="auto"/>
          <w:sz w:val="44"/>
          <w:szCs w:val="44"/>
          <w:highlight w:val="none"/>
        </w:rPr>
      </w:pPr>
    </w:p>
    <w:p w14:paraId="798D6749">
      <w:pPr>
        <w:pStyle w:val="8"/>
        <w:spacing w:line="360" w:lineRule="auto"/>
        <w:rPr>
          <w:rFonts w:ascii="楷体_GB2312" w:eastAsia="楷体_GB2312"/>
          <w:b/>
          <w:color w:val="auto"/>
          <w:sz w:val="44"/>
          <w:szCs w:val="44"/>
          <w:highlight w:val="none"/>
        </w:rPr>
      </w:pPr>
    </w:p>
    <w:p w14:paraId="279E5D08">
      <w:pPr>
        <w:pStyle w:val="7"/>
        <w:spacing w:line="360" w:lineRule="auto"/>
        <w:rPr>
          <w:rFonts w:ascii="楷体_GB2312" w:eastAsia="楷体_GB2312"/>
          <w:b/>
          <w:color w:val="auto"/>
          <w:sz w:val="44"/>
          <w:szCs w:val="44"/>
          <w:highlight w:val="none"/>
        </w:rPr>
      </w:pPr>
    </w:p>
    <w:p w14:paraId="10B705AE">
      <w:pPr>
        <w:pStyle w:val="8"/>
        <w:spacing w:line="360" w:lineRule="auto"/>
        <w:rPr>
          <w:rFonts w:ascii="楷体_GB2312" w:eastAsia="楷体_GB2312"/>
          <w:b/>
          <w:color w:val="auto"/>
          <w:sz w:val="44"/>
          <w:szCs w:val="44"/>
          <w:highlight w:val="none"/>
        </w:rPr>
      </w:pPr>
    </w:p>
    <w:p w14:paraId="39C7FEC2">
      <w:pPr>
        <w:pStyle w:val="7"/>
        <w:spacing w:line="360" w:lineRule="auto"/>
        <w:rPr>
          <w:color w:val="auto"/>
          <w:highlight w:val="none"/>
        </w:rPr>
      </w:pPr>
    </w:p>
    <w:p w14:paraId="720CD7AA">
      <w:pPr>
        <w:pStyle w:val="8"/>
        <w:spacing w:line="360" w:lineRule="auto"/>
        <w:rPr>
          <w:rFonts w:ascii="楷体_GB2312" w:eastAsia="楷体_GB2312"/>
          <w:b/>
          <w:color w:val="auto"/>
          <w:sz w:val="44"/>
          <w:szCs w:val="44"/>
          <w:highlight w:val="none"/>
        </w:rPr>
      </w:pPr>
    </w:p>
    <w:p w14:paraId="7B4478DC">
      <w:pPr>
        <w:pStyle w:val="7"/>
        <w:spacing w:line="360" w:lineRule="auto"/>
        <w:rPr>
          <w:rFonts w:ascii="楷体_GB2312" w:eastAsia="楷体_GB2312"/>
          <w:b/>
          <w:color w:val="auto"/>
          <w:sz w:val="44"/>
          <w:szCs w:val="44"/>
          <w:highlight w:val="none"/>
        </w:rPr>
      </w:pPr>
    </w:p>
    <w:p w14:paraId="464E176B">
      <w:pPr>
        <w:pStyle w:val="8"/>
        <w:spacing w:line="360" w:lineRule="auto"/>
        <w:rPr>
          <w:rFonts w:ascii="楷体_GB2312" w:eastAsia="楷体_GB2312"/>
          <w:b/>
          <w:color w:val="auto"/>
          <w:sz w:val="44"/>
          <w:szCs w:val="44"/>
          <w:highlight w:val="none"/>
        </w:rPr>
      </w:pPr>
    </w:p>
    <w:p w14:paraId="7FED9A71">
      <w:pPr>
        <w:pStyle w:val="7"/>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1"/>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1"/>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1"/>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1"/>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1"/>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1"/>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6"/>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5"/>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5"/>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46"/>
        <w:gridCol w:w="1901"/>
        <w:gridCol w:w="1263"/>
        <w:gridCol w:w="2078"/>
        <w:gridCol w:w="2221"/>
      </w:tblGrid>
      <w:tr w14:paraId="57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8" w:type="dxa"/>
            <w:vAlign w:val="center"/>
          </w:tcPr>
          <w:p w14:paraId="6EC853A3">
            <w:pPr>
              <w:pStyle w:val="11"/>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6" w:type="dxa"/>
            <w:vAlign w:val="center"/>
          </w:tcPr>
          <w:p w14:paraId="78DDEA58">
            <w:pPr>
              <w:pStyle w:val="11"/>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01" w:type="dxa"/>
            <w:vAlign w:val="center"/>
          </w:tcPr>
          <w:p w14:paraId="224954FE">
            <w:pPr>
              <w:pStyle w:val="11"/>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ascii="宋体" w:hAnsi="宋体" w:cs="宋体"/>
                <w:color w:val="auto"/>
                <w:sz w:val="24"/>
                <w:szCs w:val="24"/>
                <w:lang w:val="en-US" w:eastAsia="zh-CN"/>
              </w:rPr>
              <w:t>服务名称</w:t>
            </w:r>
          </w:p>
        </w:tc>
        <w:tc>
          <w:tcPr>
            <w:tcW w:w="1263" w:type="dxa"/>
            <w:vAlign w:val="center"/>
          </w:tcPr>
          <w:p w14:paraId="01BA6441">
            <w:pPr>
              <w:pStyle w:val="11"/>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78" w:type="dxa"/>
            <w:vAlign w:val="center"/>
          </w:tcPr>
          <w:p w14:paraId="38B8ED99">
            <w:pPr>
              <w:pStyle w:val="11"/>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服务期限</w:t>
            </w:r>
          </w:p>
        </w:tc>
        <w:tc>
          <w:tcPr>
            <w:tcW w:w="2221" w:type="dxa"/>
            <w:vAlign w:val="center"/>
          </w:tcPr>
          <w:p w14:paraId="372C4D38">
            <w:pPr>
              <w:pStyle w:val="11"/>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432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jc w:val="center"/>
        </w:trPr>
        <w:tc>
          <w:tcPr>
            <w:tcW w:w="968"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01" w:type="dxa"/>
            <w:vAlign w:val="center"/>
          </w:tcPr>
          <w:p w14:paraId="62261F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1263" w:type="dxa"/>
            <w:vAlign w:val="center"/>
          </w:tcPr>
          <w:p w14:paraId="205748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2078" w:type="dxa"/>
            <w:vAlign w:val="center"/>
          </w:tcPr>
          <w:p w14:paraId="5F9E2280">
            <w:pPr>
              <w:snapToGrid w:val="0"/>
              <w:spacing w:line="240" w:lineRule="auto"/>
              <w:jc w:val="center"/>
              <w:rPr>
                <w:rFonts w:ascii="宋体" w:hAnsi="宋体" w:cs="宋体"/>
                <w:color w:val="auto"/>
                <w:kern w:val="0"/>
                <w:sz w:val="24"/>
                <w:highlight w:val="none"/>
              </w:rPr>
            </w:pPr>
          </w:p>
        </w:tc>
        <w:tc>
          <w:tcPr>
            <w:tcW w:w="2221" w:type="dxa"/>
            <w:vAlign w:val="center"/>
          </w:tcPr>
          <w:p w14:paraId="4DFD41D2">
            <w:pPr>
              <w:widowControl/>
              <w:spacing w:line="240" w:lineRule="auto"/>
              <w:jc w:val="left"/>
              <w:rPr>
                <w:rFonts w:ascii="宋体" w:hAnsi="宋体"/>
                <w:color w:val="auto"/>
                <w:sz w:val="24"/>
                <w:highlight w:val="none"/>
              </w:rPr>
            </w:pPr>
          </w:p>
        </w:tc>
      </w:tr>
    </w:tbl>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8"/>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E6468F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4"/>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4EC342B"/>
    <w:rsid w:val="05017C52"/>
    <w:rsid w:val="056025B0"/>
    <w:rsid w:val="05B64224"/>
    <w:rsid w:val="061C715B"/>
    <w:rsid w:val="0696261C"/>
    <w:rsid w:val="07702EBF"/>
    <w:rsid w:val="08293E73"/>
    <w:rsid w:val="09A06EBC"/>
    <w:rsid w:val="0A482682"/>
    <w:rsid w:val="0AF75143"/>
    <w:rsid w:val="0B043CFB"/>
    <w:rsid w:val="0CA2647A"/>
    <w:rsid w:val="0CBB2DDD"/>
    <w:rsid w:val="0D2167C4"/>
    <w:rsid w:val="0D2D3085"/>
    <w:rsid w:val="0DAA7832"/>
    <w:rsid w:val="0DD979BE"/>
    <w:rsid w:val="0DEB14A0"/>
    <w:rsid w:val="0E0D1416"/>
    <w:rsid w:val="0FBD7DE5"/>
    <w:rsid w:val="10362DC0"/>
    <w:rsid w:val="10CE3388"/>
    <w:rsid w:val="10E42CCD"/>
    <w:rsid w:val="11790FDD"/>
    <w:rsid w:val="11AD4ADB"/>
    <w:rsid w:val="126445BB"/>
    <w:rsid w:val="13ED41C3"/>
    <w:rsid w:val="14DD66A2"/>
    <w:rsid w:val="15512530"/>
    <w:rsid w:val="15EB52EB"/>
    <w:rsid w:val="164556E1"/>
    <w:rsid w:val="16810234"/>
    <w:rsid w:val="17254BB9"/>
    <w:rsid w:val="175D4ED0"/>
    <w:rsid w:val="17A728DB"/>
    <w:rsid w:val="17F638BF"/>
    <w:rsid w:val="188B231F"/>
    <w:rsid w:val="18D25B4A"/>
    <w:rsid w:val="19121A44"/>
    <w:rsid w:val="192817FA"/>
    <w:rsid w:val="199476C8"/>
    <w:rsid w:val="19C44ADF"/>
    <w:rsid w:val="19D26850"/>
    <w:rsid w:val="19F043F2"/>
    <w:rsid w:val="1A0F193E"/>
    <w:rsid w:val="1A512FD2"/>
    <w:rsid w:val="1AA3690C"/>
    <w:rsid w:val="1AC71843"/>
    <w:rsid w:val="1AD364FF"/>
    <w:rsid w:val="1ADE3486"/>
    <w:rsid w:val="1B08700D"/>
    <w:rsid w:val="1B261D69"/>
    <w:rsid w:val="1B6C00C4"/>
    <w:rsid w:val="1BF43CB2"/>
    <w:rsid w:val="1C7D1E5D"/>
    <w:rsid w:val="1CD34D8F"/>
    <w:rsid w:val="1DAA6E61"/>
    <w:rsid w:val="1E0F3C2B"/>
    <w:rsid w:val="1E2C09AB"/>
    <w:rsid w:val="1E897F61"/>
    <w:rsid w:val="1F1C42EA"/>
    <w:rsid w:val="1F686EFF"/>
    <w:rsid w:val="1FB366B0"/>
    <w:rsid w:val="21150CB8"/>
    <w:rsid w:val="213B2764"/>
    <w:rsid w:val="21657A51"/>
    <w:rsid w:val="231A63AE"/>
    <w:rsid w:val="23B73EA6"/>
    <w:rsid w:val="23F4427C"/>
    <w:rsid w:val="25333A88"/>
    <w:rsid w:val="25776FB2"/>
    <w:rsid w:val="26B047DC"/>
    <w:rsid w:val="26BD4622"/>
    <w:rsid w:val="26C54B2C"/>
    <w:rsid w:val="27BC5F2F"/>
    <w:rsid w:val="27C42B43"/>
    <w:rsid w:val="28C13F2B"/>
    <w:rsid w:val="29FE1773"/>
    <w:rsid w:val="2A604980"/>
    <w:rsid w:val="2A727AC6"/>
    <w:rsid w:val="2B5318E1"/>
    <w:rsid w:val="2BCE7FDF"/>
    <w:rsid w:val="2CC80594"/>
    <w:rsid w:val="2D484F7D"/>
    <w:rsid w:val="2DDE2D69"/>
    <w:rsid w:val="2EBE2586"/>
    <w:rsid w:val="2ECC1930"/>
    <w:rsid w:val="2F07679A"/>
    <w:rsid w:val="2F4F4B8D"/>
    <w:rsid w:val="312D39F9"/>
    <w:rsid w:val="31A664BD"/>
    <w:rsid w:val="31B67ACD"/>
    <w:rsid w:val="334D7ECB"/>
    <w:rsid w:val="336F02F9"/>
    <w:rsid w:val="33F45566"/>
    <w:rsid w:val="34160775"/>
    <w:rsid w:val="3444677B"/>
    <w:rsid w:val="3503072C"/>
    <w:rsid w:val="356F257B"/>
    <w:rsid w:val="35786F8C"/>
    <w:rsid w:val="35E30AE8"/>
    <w:rsid w:val="36F5483C"/>
    <w:rsid w:val="389425B0"/>
    <w:rsid w:val="39924D42"/>
    <w:rsid w:val="3A0E0140"/>
    <w:rsid w:val="3A9D764F"/>
    <w:rsid w:val="3C65673D"/>
    <w:rsid w:val="3CE851D3"/>
    <w:rsid w:val="3D035E9B"/>
    <w:rsid w:val="3D4B1754"/>
    <w:rsid w:val="3D50551B"/>
    <w:rsid w:val="3D6C7658"/>
    <w:rsid w:val="3DC2628F"/>
    <w:rsid w:val="3DCF1135"/>
    <w:rsid w:val="3DD60AE2"/>
    <w:rsid w:val="3E5C0069"/>
    <w:rsid w:val="3E7A2DAA"/>
    <w:rsid w:val="3E8B1175"/>
    <w:rsid w:val="3EC82FB3"/>
    <w:rsid w:val="3F9E5AC2"/>
    <w:rsid w:val="3FAC28BB"/>
    <w:rsid w:val="3FB97B2C"/>
    <w:rsid w:val="40181D19"/>
    <w:rsid w:val="40BD676E"/>
    <w:rsid w:val="417E75E8"/>
    <w:rsid w:val="41910115"/>
    <w:rsid w:val="41D908F9"/>
    <w:rsid w:val="438B3EDE"/>
    <w:rsid w:val="4495014D"/>
    <w:rsid w:val="44AD0C2A"/>
    <w:rsid w:val="44C61B6C"/>
    <w:rsid w:val="44F31851"/>
    <w:rsid w:val="45AA573E"/>
    <w:rsid w:val="45B275F5"/>
    <w:rsid w:val="46BC33FE"/>
    <w:rsid w:val="46EE7477"/>
    <w:rsid w:val="47BC0C07"/>
    <w:rsid w:val="47E210AF"/>
    <w:rsid w:val="489259CA"/>
    <w:rsid w:val="498B3956"/>
    <w:rsid w:val="49EC54BB"/>
    <w:rsid w:val="4AD5737D"/>
    <w:rsid w:val="4AF94EF9"/>
    <w:rsid w:val="4B605AC5"/>
    <w:rsid w:val="4BB0030E"/>
    <w:rsid w:val="4BC53306"/>
    <w:rsid w:val="4C15710C"/>
    <w:rsid w:val="4C2E5FB6"/>
    <w:rsid w:val="4C63431C"/>
    <w:rsid w:val="4C9444D5"/>
    <w:rsid w:val="4CE2174D"/>
    <w:rsid w:val="4D263E11"/>
    <w:rsid w:val="4D505935"/>
    <w:rsid w:val="4D72372E"/>
    <w:rsid w:val="4E141911"/>
    <w:rsid w:val="4E370E84"/>
    <w:rsid w:val="4EBB778D"/>
    <w:rsid w:val="4F7C19ED"/>
    <w:rsid w:val="4FB142EA"/>
    <w:rsid w:val="506863A4"/>
    <w:rsid w:val="508F27C5"/>
    <w:rsid w:val="50F55D99"/>
    <w:rsid w:val="513814F5"/>
    <w:rsid w:val="513B5867"/>
    <w:rsid w:val="51497716"/>
    <w:rsid w:val="51A30093"/>
    <w:rsid w:val="520457CB"/>
    <w:rsid w:val="522C2C59"/>
    <w:rsid w:val="539774E2"/>
    <w:rsid w:val="53C953AC"/>
    <w:rsid w:val="541A03F5"/>
    <w:rsid w:val="54C5216A"/>
    <w:rsid w:val="54D577A2"/>
    <w:rsid w:val="55357439"/>
    <w:rsid w:val="57286DB3"/>
    <w:rsid w:val="57315742"/>
    <w:rsid w:val="589A572D"/>
    <w:rsid w:val="589B7196"/>
    <w:rsid w:val="58C92DB8"/>
    <w:rsid w:val="590271D1"/>
    <w:rsid w:val="594608FB"/>
    <w:rsid w:val="59AF6DF2"/>
    <w:rsid w:val="5A2C4216"/>
    <w:rsid w:val="5A3433AD"/>
    <w:rsid w:val="5A550A07"/>
    <w:rsid w:val="5B761B8D"/>
    <w:rsid w:val="5BC000BF"/>
    <w:rsid w:val="5D01514B"/>
    <w:rsid w:val="5DBA0782"/>
    <w:rsid w:val="5F2D396D"/>
    <w:rsid w:val="5F663C2C"/>
    <w:rsid w:val="60A52CFD"/>
    <w:rsid w:val="60D04179"/>
    <w:rsid w:val="60E47381"/>
    <w:rsid w:val="61C7729B"/>
    <w:rsid w:val="62641034"/>
    <w:rsid w:val="635A2C28"/>
    <w:rsid w:val="6374691F"/>
    <w:rsid w:val="63BA7B71"/>
    <w:rsid w:val="63BC0257"/>
    <w:rsid w:val="643B2EFE"/>
    <w:rsid w:val="644665A5"/>
    <w:rsid w:val="64644411"/>
    <w:rsid w:val="65005919"/>
    <w:rsid w:val="6536434F"/>
    <w:rsid w:val="65813C56"/>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BC97FB4"/>
    <w:rsid w:val="6CD40DBF"/>
    <w:rsid w:val="6D0D24E0"/>
    <w:rsid w:val="6D285F68"/>
    <w:rsid w:val="6DA050EC"/>
    <w:rsid w:val="6DFD21E5"/>
    <w:rsid w:val="6E0440FB"/>
    <w:rsid w:val="6ED44ED9"/>
    <w:rsid w:val="6FCF0E93"/>
    <w:rsid w:val="6FD05F3F"/>
    <w:rsid w:val="703B20B6"/>
    <w:rsid w:val="724A1DFC"/>
    <w:rsid w:val="72845AC6"/>
    <w:rsid w:val="72916AD9"/>
    <w:rsid w:val="72F8490A"/>
    <w:rsid w:val="73D239B1"/>
    <w:rsid w:val="73ED08CD"/>
    <w:rsid w:val="73F676A0"/>
    <w:rsid w:val="74120755"/>
    <w:rsid w:val="745C662B"/>
    <w:rsid w:val="74B308B5"/>
    <w:rsid w:val="75247769"/>
    <w:rsid w:val="75313CDE"/>
    <w:rsid w:val="753F0E71"/>
    <w:rsid w:val="75645785"/>
    <w:rsid w:val="75716A92"/>
    <w:rsid w:val="758D2516"/>
    <w:rsid w:val="7599235F"/>
    <w:rsid w:val="75AE2AF5"/>
    <w:rsid w:val="75BD7F3E"/>
    <w:rsid w:val="7858402F"/>
    <w:rsid w:val="78D50787"/>
    <w:rsid w:val="794A53F5"/>
    <w:rsid w:val="79A30EAB"/>
    <w:rsid w:val="79B17807"/>
    <w:rsid w:val="79FE2EB5"/>
    <w:rsid w:val="7A1940E8"/>
    <w:rsid w:val="7AE26EA4"/>
    <w:rsid w:val="7B8F04A8"/>
    <w:rsid w:val="7C95557C"/>
    <w:rsid w:val="7CB060B8"/>
    <w:rsid w:val="7D3A4490"/>
    <w:rsid w:val="7D3F0A9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5">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6">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rFonts w:ascii="Times New Roman" w:hAnsi="Times New Roman"/>
      <w:szCs w:val="20"/>
    </w:rPr>
  </w:style>
  <w:style w:type="paragraph" w:styleId="3">
    <w:name w:val="Body Text"/>
    <w:basedOn w:val="1"/>
    <w:autoRedefine/>
    <w:qFormat/>
    <w:uiPriority w:val="0"/>
    <w:pPr>
      <w:spacing w:after="120"/>
    </w:pPr>
  </w:style>
  <w:style w:type="paragraph" w:styleId="7">
    <w:name w:val="Normal Indent"/>
    <w:basedOn w:val="1"/>
    <w:next w:val="8"/>
    <w:autoRedefine/>
    <w:qFormat/>
    <w:uiPriority w:val="0"/>
    <w:pPr>
      <w:ind w:firstLine="420"/>
    </w:pPr>
    <w:rPr>
      <w:szCs w:val="20"/>
    </w:r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Plain Text"/>
    <w:basedOn w:val="1"/>
    <w:autoRedefine/>
    <w:qFormat/>
    <w:uiPriority w:val="0"/>
    <w:rPr>
      <w:rFonts w:ascii="宋体" w:hAnsi="Courier New"/>
      <w:kern w:val="0"/>
      <w:sz w:val="20"/>
    </w:rPr>
  </w:style>
  <w:style w:type="paragraph" w:styleId="12">
    <w:name w:val="Body Text Indent 2"/>
    <w:basedOn w:val="1"/>
    <w:autoRedefine/>
    <w:qFormat/>
    <w:uiPriority w:val="0"/>
    <w:pPr>
      <w:spacing w:line="480" w:lineRule="auto"/>
      <w:ind w:left="420" w:leftChars="200"/>
    </w:pPr>
  </w:style>
  <w:style w:type="paragraph" w:styleId="13">
    <w:name w:val="Balloon Text"/>
    <w:basedOn w:val="1"/>
    <w:link w:val="37"/>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7">
    <w:name w:val="toc 2"/>
    <w:basedOn w:val="1"/>
    <w:next w:val="1"/>
    <w:qFormat/>
    <w:uiPriority w:val="0"/>
    <w:pPr>
      <w:ind w:left="420" w:leftChars="200"/>
    </w:pPr>
    <w:rPr>
      <w:rFonts w:ascii="Times New Roman" w:hAnsi="Times New Roman" w:eastAsia="宋体" w:cs="Times New Roman"/>
    </w:rPr>
  </w:style>
  <w:style w:type="paragraph" w:styleId="18">
    <w:name w:val="Normal (Web)"/>
    <w:basedOn w:val="1"/>
    <w:next w:val="19"/>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样式 标题 3 + (中文) 黑体 小四 非加粗 段前: 7.8 磅 段后: 0 磅 行距: 固定值 20 磅"/>
    <w:basedOn w:val="6"/>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20">
    <w:name w:val="Title"/>
    <w:basedOn w:val="1"/>
    <w:next w:val="1"/>
    <w:autoRedefine/>
    <w:qFormat/>
    <w:uiPriority w:val="0"/>
    <w:pPr>
      <w:jc w:val="center"/>
      <w:outlineLvl w:val="0"/>
    </w:pPr>
    <w:rPr>
      <w:rFonts w:ascii="Cambria" w:hAnsi="Cambria"/>
      <w:b/>
      <w:bCs/>
      <w:kern w:val="0"/>
      <w:sz w:val="32"/>
      <w:szCs w:val="32"/>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11"/>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5"/>
    <w:autoRedefine/>
    <w:qFormat/>
    <w:uiPriority w:val="0"/>
    <w:rPr>
      <w:rFonts w:ascii="Calibri" w:hAnsi="Calibri"/>
      <w:kern w:val="2"/>
      <w:sz w:val="18"/>
      <w:szCs w:val="18"/>
    </w:rPr>
  </w:style>
  <w:style w:type="character" w:customStyle="1" w:styleId="37">
    <w:name w:val="批注框文本 Char"/>
    <w:basedOn w:val="24"/>
    <w:link w:val="13"/>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NormalIndent"/>
    <w:basedOn w:val="1"/>
    <w:next w:val="40"/>
    <w:autoRedefine/>
    <w:qFormat/>
    <w:uiPriority w:val="0"/>
    <w:pPr>
      <w:ind w:firstLine="420"/>
    </w:pPr>
    <w:rPr>
      <w:szCs w:val="20"/>
    </w:rPr>
  </w:style>
  <w:style w:type="paragraph" w:customStyle="1" w:styleId="40">
    <w:name w:val="BodyTextIndent"/>
    <w:basedOn w:val="1"/>
    <w:next w:val="39"/>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5482</Words>
  <Characters>5855</Characters>
  <Lines>186</Lines>
  <Paragraphs>52</Paragraphs>
  <TotalTime>0</TotalTime>
  <ScaleCrop>false</ScaleCrop>
  <LinksUpToDate>false</LinksUpToDate>
  <CharactersWithSpaces>5995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2025-11-11T02:27:22Z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B544B3309180D50974C0C768C954EF80_43</vt:lpwstr>
  </property>
  <property fmtid="{D5CDD505-2E9C-101B-9397-08002B2CF9AE}" pid="4" name="KSOTemplateDocerSaveRecord">
    <vt:lpwstr>eyJoZGlkIjoiMzNlMTg1ZmRhMjJhMzI1NTNjZGIzMDVkMDhlZjg2ZmMiLCJ1c2VySWQiOiI2MTM2Nzk1NDkifQ==</vt:lpwstr>
  </property>
</Properties>
</file>