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C076C">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福建省莆田荔兴轻工实业有限责任公司消防器材</w:t>
      </w:r>
    </w:p>
    <w:p w14:paraId="7FF51602">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采购项目</w:t>
      </w:r>
    </w:p>
    <w:p w14:paraId="337FA12F">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网上竞价文件</w:t>
      </w:r>
    </w:p>
    <w:p w14:paraId="7012332C">
      <w:pPr>
        <w:pStyle w:val="10"/>
        <w:spacing w:line="0" w:lineRule="atLeast"/>
        <w:rPr>
          <w:rFonts w:hAnsi="宋体"/>
          <w:b/>
          <w:color w:val="auto"/>
          <w:sz w:val="32"/>
          <w:highlight w:val="none"/>
        </w:rPr>
      </w:pPr>
    </w:p>
    <w:p w14:paraId="132E006B">
      <w:pPr>
        <w:pStyle w:val="10"/>
        <w:spacing w:line="0" w:lineRule="atLeast"/>
        <w:jc w:val="center"/>
        <w:rPr>
          <w:rFonts w:hAnsi="宋体"/>
          <w:b/>
          <w:color w:val="auto"/>
          <w:sz w:val="36"/>
          <w:highlight w:val="none"/>
        </w:rPr>
      </w:pPr>
    </w:p>
    <w:p w14:paraId="27D84FF1">
      <w:pPr>
        <w:pStyle w:val="10"/>
        <w:spacing w:line="0" w:lineRule="atLeast"/>
        <w:jc w:val="center"/>
        <w:rPr>
          <w:rFonts w:hAnsi="宋体"/>
          <w:b/>
          <w:color w:val="auto"/>
          <w:sz w:val="36"/>
          <w:highlight w:val="none"/>
        </w:rPr>
      </w:pPr>
    </w:p>
    <w:p w14:paraId="548A6816">
      <w:pPr>
        <w:pStyle w:val="10"/>
        <w:spacing w:line="0" w:lineRule="atLeast"/>
        <w:jc w:val="both"/>
        <w:rPr>
          <w:rFonts w:hAnsi="宋体"/>
          <w:b/>
          <w:color w:val="auto"/>
          <w:sz w:val="36"/>
          <w:highlight w:val="none"/>
        </w:rPr>
      </w:pPr>
    </w:p>
    <w:p w14:paraId="70799197">
      <w:pPr>
        <w:pStyle w:val="10"/>
        <w:spacing w:line="0" w:lineRule="atLeast"/>
        <w:jc w:val="both"/>
        <w:rPr>
          <w:rFonts w:hAnsi="宋体"/>
          <w:b/>
          <w:color w:val="auto"/>
          <w:sz w:val="36"/>
          <w:highlight w:val="none"/>
        </w:rPr>
      </w:pPr>
    </w:p>
    <w:p w14:paraId="74A0AFEA">
      <w:pPr>
        <w:pStyle w:val="10"/>
        <w:spacing w:line="0" w:lineRule="atLeast"/>
        <w:jc w:val="both"/>
        <w:rPr>
          <w:rFonts w:hAnsi="宋体"/>
          <w:b/>
          <w:color w:val="auto"/>
          <w:sz w:val="36"/>
          <w:highlight w:val="none"/>
        </w:rPr>
      </w:pPr>
    </w:p>
    <w:p w14:paraId="3016ED2D">
      <w:pPr>
        <w:pStyle w:val="10"/>
        <w:spacing w:line="400" w:lineRule="exact"/>
        <w:rPr>
          <w:rFonts w:hAnsi="宋体"/>
          <w:b/>
          <w:color w:val="auto"/>
          <w:sz w:val="36"/>
          <w:highlight w:val="none"/>
        </w:rPr>
      </w:pPr>
    </w:p>
    <w:p w14:paraId="1BAB69C2">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JJZB-WJ-2025026</w:t>
      </w:r>
    </w:p>
    <w:p w14:paraId="0695DF54">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福建省莆田荔兴轻工实业有限责任公司消防器材采购项目</w:t>
      </w:r>
    </w:p>
    <w:p w14:paraId="4E54EB49">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福建省莆田荔兴轻工实业有限责任公司</w:t>
      </w:r>
    </w:p>
    <w:p w14:paraId="06E49F12">
      <w:pPr>
        <w:pStyle w:val="10"/>
        <w:spacing w:line="640" w:lineRule="exact"/>
        <w:ind w:firstLine="2570" w:firstLineChars="800"/>
        <w:jc w:val="both"/>
        <w:rPr>
          <w:rFonts w:hint="eastAsia" w:hAnsi="宋体"/>
          <w:b/>
          <w:color w:val="auto"/>
          <w:sz w:val="32"/>
          <w:szCs w:val="32"/>
          <w:highlight w:val="none"/>
          <w:lang w:eastAsia="zh-CN"/>
        </w:rPr>
      </w:pPr>
    </w:p>
    <w:p w14:paraId="7D2A023E">
      <w:pPr>
        <w:pStyle w:val="10"/>
        <w:spacing w:line="640" w:lineRule="exact"/>
        <w:jc w:val="both"/>
        <w:rPr>
          <w:rFonts w:hint="eastAsia" w:hAnsi="宋体"/>
          <w:b/>
          <w:color w:val="auto"/>
          <w:sz w:val="32"/>
          <w:szCs w:val="32"/>
          <w:highlight w:val="none"/>
          <w:lang w:eastAsia="zh-CN"/>
        </w:rPr>
      </w:pPr>
    </w:p>
    <w:p w14:paraId="04586020">
      <w:pPr>
        <w:pStyle w:val="10"/>
        <w:spacing w:line="640" w:lineRule="exact"/>
        <w:jc w:val="both"/>
        <w:rPr>
          <w:rFonts w:hint="eastAsia" w:hAnsi="宋体"/>
          <w:b/>
          <w:color w:val="auto"/>
          <w:sz w:val="32"/>
          <w:szCs w:val="32"/>
          <w:highlight w:val="none"/>
          <w:lang w:eastAsia="zh-CN"/>
        </w:rPr>
      </w:pPr>
    </w:p>
    <w:p w14:paraId="7C5D0CB2">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57A748B3">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w:t>
      </w:r>
      <w:r>
        <w:rPr>
          <w:rFonts w:hint="eastAsia" w:hAnsi="宋体"/>
          <w:b/>
          <w:color w:val="auto"/>
          <w:sz w:val="32"/>
          <w:szCs w:val="32"/>
          <w:highlight w:val="none"/>
          <w:lang w:val="en-US" w:eastAsia="zh-CN"/>
        </w:rPr>
        <w:t>二五</w:t>
      </w:r>
      <w:r>
        <w:rPr>
          <w:rFonts w:hint="eastAsia" w:hAnsi="宋体"/>
          <w:b/>
          <w:color w:val="auto"/>
          <w:sz w:val="32"/>
          <w:szCs w:val="32"/>
          <w:highlight w:val="none"/>
        </w:rPr>
        <w:t>年</w:t>
      </w:r>
      <w:r>
        <w:rPr>
          <w:rFonts w:hint="eastAsia" w:hAnsi="宋体"/>
          <w:b/>
          <w:color w:val="auto"/>
          <w:sz w:val="32"/>
          <w:szCs w:val="32"/>
          <w:highlight w:val="none"/>
          <w:lang w:val="en-US" w:eastAsia="zh-CN"/>
        </w:rPr>
        <w:t>十</w:t>
      </w:r>
      <w:r>
        <w:rPr>
          <w:rFonts w:hint="eastAsia"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福建省莆田荔兴轻工实业有限责任公司</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福建省莆田荔兴轻工实业有限责任公司消防器材采购项目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JJZB-WJ-2025026</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福建省莆田荔兴轻工实业有限责任公司消防器材采购项目</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13779B97">
      <w:pPr>
        <w:pStyle w:val="17"/>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1C30B533">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307FCAEA">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2F4816E9">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398C4E1B">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DF50B18">
      <w:pPr>
        <w:keepNext w:val="0"/>
        <w:keepLines w:val="0"/>
        <w:pageBreakBefore w:val="0"/>
        <w:kinsoku/>
        <w:overflowPunct/>
        <w:topLinePunct w:val="0"/>
        <w:autoSpaceDE/>
        <w:autoSpaceDN/>
        <w:bidi w:val="0"/>
        <w:adjustRightInd/>
        <w:snapToGrid/>
        <w:spacing w:line="450" w:lineRule="exact"/>
        <w:ind w:left="0" w:firstLine="48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特定资格要求：无。</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2EB2C2B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福建省莆田荔兴轻工实业有限责任公司</w:t>
      </w:r>
    </w:p>
    <w:p w14:paraId="4829E32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址：福建省莆田市涵江区新涵大街2089号</w:t>
      </w:r>
      <w:r>
        <w:rPr>
          <w:rFonts w:hint="eastAsia" w:ascii="宋体" w:hAnsi="宋体" w:eastAsia="宋体" w:cs="宋体"/>
          <w:color w:val="auto"/>
          <w:sz w:val="24"/>
          <w:szCs w:val="24"/>
          <w:highlight w:val="none"/>
        </w:rPr>
        <w:t>　</w:t>
      </w:r>
    </w:p>
    <w:p w14:paraId="6339FC09">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联系人及电话：刘警官 0594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3390775</w:t>
      </w:r>
      <w:r>
        <w:rPr>
          <w:rFonts w:hint="eastAsia" w:ascii="宋体" w:hAnsi="宋体" w:eastAsia="宋体" w:cs="宋体"/>
          <w:color w:val="auto"/>
          <w:sz w:val="24"/>
          <w:highlight w:val="none"/>
          <w:lang w:val="en-US" w:eastAsia="zh-CN"/>
        </w:rPr>
        <w:t xml:space="preserve">  </w:t>
      </w:r>
    </w:p>
    <w:p w14:paraId="0D4FFE8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岳红丽</w:t>
      </w:r>
      <w:r>
        <w:rPr>
          <w:rFonts w:hint="eastAsia" w:ascii="宋体" w:hAnsi="宋体" w:cs="宋体"/>
          <w:color w:val="auto"/>
          <w:sz w:val="24"/>
          <w:highlight w:val="none"/>
          <w:lang w:eastAsia="zh-CN"/>
        </w:rPr>
        <w:t>、赖天凤</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2FEF4AE6">
      <w:pPr>
        <w:pStyle w:val="3"/>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0202BDC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1207915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color w:val="auto"/>
          <w:highlight w:val="none"/>
        </w:rPr>
      </w:pPr>
      <w:r>
        <w:rPr>
          <w:rFonts w:hint="eastAsia" w:ascii="宋体" w:hAnsi="宋体" w:eastAsia="宋体" w:cs="宋体"/>
          <w:color w:val="auto"/>
          <w:sz w:val="24"/>
          <w:highlight w:val="none"/>
          <w:lang w:eastAsia="zh-CN"/>
        </w:rPr>
        <w:t>福建杰俊招标代理有限公司，网址：http://www.fjjjzb.com。</w:t>
      </w: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7791841">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033B367E">
      <w:pPr>
        <w:pStyle w:val="21"/>
        <w:keepNext w:val="0"/>
        <w:keepLines w:val="0"/>
        <w:pageBreakBefore w:val="0"/>
        <w:kinsoku/>
        <w:topLinePunct w:val="0"/>
        <w:bidi w:val="0"/>
        <w:spacing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5.供应商在网上竞价开始时未被列入景弘集团有限公司黑名单。</w:t>
      </w:r>
      <w:r>
        <w:rPr>
          <w:rFonts w:hint="eastAsia" w:ascii="宋体" w:hAnsi="宋体" w:eastAsia="宋体" w:cs="宋体"/>
          <w:b/>
          <w:bCs/>
          <w:color w:val="auto"/>
          <w:kern w:val="2"/>
          <w:sz w:val="24"/>
          <w:szCs w:val="24"/>
          <w:highlight w:val="none"/>
          <w:lang w:val="en-US" w:eastAsia="zh-CN" w:bidi="ar-SA"/>
        </w:rPr>
        <w:t>须提供承诺函，格式详见第五章。</w:t>
      </w:r>
    </w:p>
    <w:p w14:paraId="130D2F29">
      <w:pPr>
        <w:pStyle w:val="21"/>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7"/>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1F4833D0">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7CEC9103">
      <w:pPr>
        <w:pStyle w:val="17"/>
        <w:keepNext w:val="0"/>
        <w:keepLines w:val="0"/>
        <w:pageBreakBefore w:val="0"/>
        <w:kinsoku/>
        <w:topLinePunct w:val="0"/>
        <w:bidi w:val="0"/>
        <w:spacing w:before="0" w:beforeAutospacing="0" w:after="0" w:afterAutospacing="0" w:line="40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8188F80">
      <w:pPr>
        <w:keepNext w:val="0"/>
        <w:keepLines w:val="0"/>
        <w:pageBreakBefore w:val="0"/>
        <w:widowControl/>
        <w:kinsoku/>
        <w:topLinePunct w:val="0"/>
        <w:bidi w:val="0"/>
        <w:spacing w:line="40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3EE93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028E6C3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E954405">
      <w:pPr>
        <w:spacing w:line="360" w:lineRule="auto"/>
        <w:jc w:val="center"/>
        <w:rPr>
          <w:rFonts w:ascii="宋体" w:hAnsi="宋体" w:cs="宋体"/>
          <w:b/>
          <w:color w:val="auto"/>
          <w:kern w:val="0"/>
          <w:sz w:val="32"/>
          <w:szCs w:val="32"/>
          <w:highlight w:val="none"/>
        </w:rPr>
      </w:pPr>
    </w:p>
    <w:p w14:paraId="5C72986D">
      <w:pPr>
        <w:pStyle w:val="4"/>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30567034"/>
      <w:bookmarkStart w:id="4" w:name="_Toc327948617"/>
      <w:bookmarkStart w:id="5" w:name="_Toc346300367"/>
      <w:bookmarkStart w:id="6" w:name="_Toc347060296"/>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kinsoku/>
        <w:wordWrap/>
        <w:overflowPunct/>
        <w:topLinePunct w:val="0"/>
        <w:autoSpaceDE/>
        <w:autoSpaceDN/>
        <w:bidi w:val="0"/>
        <w:adjustRightIn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35"/>
        <w:gridCol w:w="1470"/>
        <w:gridCol w:w="825"/>
        <w:gridCol w:w="662"/>
        <w:gridCol w:w="960"/>
        <w:gridCol w:w="3093"/>
        <w:gridCol w:w="1235"/>
      </w:tblGrid>
      <w:tr w14:paraId="7D6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FBCE3D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1359C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376D10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kern w:val="0"/>
                <w:sz w:val="24"/>
                <w:lang w:val="en-US" w:eastAsia="zh-CN"/>
              </w:rPr>
              <w:t>品目编码及品目名称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7A37C71">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b/>
                <w:bCs/>
                <w:color w:val="auto"/>
                <w:kern w:val="0"/>
                <w:sz w:val="24"/>
                <w:szCs w:val="24"/>
                <w:highlight w:val="none"/>
              </w:rPr>
            </w:pPr>
            <w:r>
              <w:rPr>
                <w:rFonts w:hint="eastAsia" w:ascii="宋体" w:hAnsi="宋体"/>
                <w:b/>
                <w:bCs/>
                <w:color w:val="auto"/>
                <w:kern w:val="0"/>
                <w:sz w:val="24"/>
                <w:szCs w:val="24"/>
                <w:highlight w:val="none"/>
                <w:lang w:val="en-US" w:eastAsia="zh-CN"/>
              </w:rPr>
              <w:t>采购标的</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E2ACC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数量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B7119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是否允许进口</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656FE480">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交货时间</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447A3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预算金额</w:t>
            </w:r>
          </w:p>
        </w:tc>
      </w:tr>
      <w:tr w14:paraId="0205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757" w:type="dxa"/>
            <w:tcBorders>
              <w:top w:val="single" w:color="auto" w:sz="4" w:space="0"/>
              <w:left w:val="single" w:color="auto" w:sz="4" w:space="0"/>
              <w:right w:val="single" w:color="auto" w:sz="4" w:space="0"/>
            </w:tcBorders>
            <w:noWrap w:val="0"/>
            <w:vAlign w:val="center"/>
          </w:tcPr>
          <w:p w14:paraId="0DF84B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F6A29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40834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A02370100-消防设备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3FE1D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spacing w:val="-3"/>
                <w:sz w:val="24"/>
                <w:szCs w:val="24"/>
                <w:lang w:val="en-US" w:eastAsia="zh-CN"/>
              </w:rPr>
              <w:t>消防器材采购</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70E5E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1批</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34E9A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否</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EAB240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成交供应商</w:t>
            </w:r>
            <w:r>
              <w:rPr>
                <w:rFonts w:hint="eastAsia" w:ascii="宋体" w:hAnsi="宋体" w:eastAsia="宋体" w:cs="宋体"/>
                <w:bCs/>
                <w:color w:val="auto"/>
                <w:sz w:val="24"/>
                <w:szCs w:val="24"/>
                <w:highlight w:val="none"/>
              </w:rPr>
              <w:t>根据</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的实际需求量分批次供货，具体送货时间以</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通知为准。经</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验收人员验收后，签收供货清单(作为结算凭据)。</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4E8B9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96438.00</w:t>
            </w:r>
            <w:r>
              <w:rPr>
                <w:rFonts w:hint="eastAsia" w:ascii="宋体" w:hAnsi="宋体" w:eastAsia="宋体" w:cs="宋体"/>
                <w:color w:val="000000"/>
                <w:kern w:val="0"/>
                <w:sz w:val="24"/>
                <w:szCs w:val="24"/>
              </w:rPr>
              <w:t xml:space="preserve"> </w:t>
            </w:r>
          </w:p>
        </w:tc>
      </w:tr>
    </w:tbl>
    <w:p w14:paraId="72572D0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7FAFF4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kern w:val="0"/>
          <w:sz w:val="24"/>
          <w:szCs w:val="24"/>
          <w:highlight w:val="none"/>
          <w:lang w:val="en-US" w:eastAsia="zh-CN" w:bidi="ar-SA"/>
        </w:rPr>
        <w:t>供应、安装、运输、装车、保险、卸货、技术资料费、包装、安装防护、质量保修期内的维护费、验收费、税金、安装材料费、人工费</w:t>
      </w:r>
      <w:r>
        <w:rPr>
          <w:rFonts w:hint="eastAsia" w:ascii="宋体" w:hAnsi="宋体" w:eastAsia="宋体" w:cs="宋体"/>
          <w:color w:val="auto"/>
          <w:sz w:val="24"/>
          <w:szCs w:val="24"/>
        </w:rPr>
        <w:t>以及履行本项目合同所需的一切费用</w:t>
      </w:r>
      <w:r>
        <w:rPr>
          <w:rFonts w:hint="eastAsia" w:ascii="宋体" w:hAnsi="宋体" w:eastAsia="宋体" w:cs="宋体"/>
          <w:color w:val="auto"/>
          <w:kern w:val="0"/>
          <w:sz w:val="24"/>
          <w:szCs w:val="24"/>
          <w:highlight w:val="none"/>
          <w:lang w:val="en-US" w:eastAsia="zh-CN" w:bidi="ar-SA"/>
        </w:rPr>
        <w:t>。投标供应商漏报或不报，</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人将视为有关费用已包括在总报价中而不予另行支付费用。</w:t>
      </w:r>
    </w:p>
    <w:p w14:paraId="50E1E32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本次采购为1年服务期的货物计划采购，1年服务期满或累计采购金额达到合同金额96438元，则项目自动终止。</w:t>
      </w:r>
    </w:p>
    <w:p w14:paraId="542DEE6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670"/>
        <w:gridCol w:w="2985"/>
        <w:gridCol w:w="765"/>
        <w:gridCol w:w="675"/>
        <w:gridCol w:w="960"/>
        <w:gridCol w:w="1070"/>
      </w:tblGrid>
      <w:tr w14:paraId="21E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1" w:type="dxa"/>
            <w:vAlign w:val="center"/>
          </w:tcPr>
          <w:p w14:paraId="3F7394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序号</w:t>
            </w:r>
          </w:p>
        </w:tc>
        <w:tc>
          <w:tcPr>
            <w:tcW w:w="2670" w:type="dxa"/>
            <w:vAlign w:val="center"/>
          </w:tcPr>
          <w:p w14:paraId="075EEC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货物名称</w:t>
            </w:r>
          </w:p>
        </w:tc>
        <w:tc>
          <w:tcPr>
            <w:tcW w:w="2985" w:type="dxa"/>
            <w:vAlign w:val="center"/>
          </w:tcPr>
          <w:p w14:paraId="77EF04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技术参数</w:t>
            </w:r>
          </w:p>
          <w:p w14:paraId="152F0D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（允许±2%偏离）</w:t>
            </w:r>
          </w:p>
        </w:tc>
        <w:tc>
          <w:tcPr>
            <w:tcW w:w="765" w:type="dxa"/>
            <w:vAlign w:val="center"/>
          </w:tcPr>
          <w:p w14:paraId="4405AC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c>
          <w:tcPr>
            <w:tcW w:w="675" w:type="dxa"/>
            <w:vAlign w:val="center"/>
          </w:tcPr>
          <w:p w14:paraId="156551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单位</w:t>
            </w:r>
          </w:p>
        </w:tc>
        <w:tc>
          <w:tcPr>
            <w:tcW w:w="960" w:type="dxa"/>
            <w:vAlign w:val="center"/>
          </w:tcPr>
          <w:p w14:paraId="545B21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单价最高限价（元）</w:t>
            </w:r>
          </w:p>
        </w:tc>
        <w:tc>
          <w:tcPr>
            <w:tcW w:w="1070" w:type="dxa"/>
            <w:vAlign w:val="center"/>
          </w:tcPr>
          <w:p w14:paraId="4006DE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总价最高限价（元）</w:t>
            </w:r>
          </w:p>
        </w:tc>
      </w:tr>
      <w:tr w14:paraId="3460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F4E2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2670" w:type="dxa"/>
            <w:vAlign w:val="center"/>
          </w:tcPr>
          <w:p w14:paraId="0EDF1D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过滤式自救呼吸器</w:t>
            </w:r>
          </w:p>
        </w:tc>
        <w:tc>
          <w:tcPr>
            <w:tcW w:w="2985" w:type="dxa"/>
            <w:vAlign w:val="center"/>
          </w:tcPr>
          <w:p w14:paraId="3D2C54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XHZLC3O</w:t>
            </w:r>
          </w:p>
        </w:tc>
        <w:tc>
          <w:tcPr>
            <w:tcW w:w="765" w:type="dxa"/>
            <w:vAlign w:val="center"/>
          </w:tcPr>
          <w:p w14:paraId="7DCA09B4">
            <w:pPr>
              <w:keepNext w:val="0"/>
              <w:keepLines w:val="0"/>
              <w:widowControl/>
              <w:suppressLineNumbers w:val="0"/>
              <w:jc w:val="center"/>
              <w:textAlignment w:val="center"/>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675" w:type="dxa"/>
            <w:vAlign w:val="center"/>
          </w:tcPr>
          <w:p w14:paraId="31D1B45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F89759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1070" w:type="dxa"/>
            <w:vAlign w:val="center"/>
          </w:tcPr>
          <w:p w14:paraId="4B1E19A7">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5544</w:t>
            </w:r>
          </w:p>
        </w:tc>
      </w:tr>
      <w:tr w14:paraId="5E79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872D2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p>
        </w:tc>
        <w:tc>
          <w:tcPr>
            <w:tcW w:w="2670" w:type="dxa"/>
            <w:vAlign w:val="center"/>
          </w:tcPr>
          <w:p w14:paraId="78930D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ABC干粉灭火器</w:t>
            </w:r>
          </w:p>
        </w:tc>
        <w:tc>
          <w:tcPr>
            <w:tcW w:w="2985" w:type="dxa"/>
            <w:vAlign w:val="center"/>
          </w:tcPr>
          <w:p w14:paraId="507A3A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D9A563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675" w:type="dxa"/>
            <w:vAlign w:val="center"/>
          </w:tcPr>
          <w:p w14:paraId="2DD1526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A853D3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070" w:type="dxa"/>
            <w:vAlign w:val="center"/>
          </w:tcPr>
          <w:p w14:paraId="6B3550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9135</w:t>
            </w:r>
          </w:p>
        </w:tc>
      </w:tr>
      <w:tr w14:paraId="0DB2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554EC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w:t>
            </w:r>
          </w:p>
        </w:tc>
        <w:tc>
          <w:tcPr>
            <w:tcW w:w="2670" w:type="dxa"/>
            <w:vAlign w:val="center"/>
          </w:tcPr>
          <w:p w14:paraId="20E69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手推式灭火器</w:t>
            </w:r>
          </w:p>
        </w:tc>
        <w:tc>
          <w:tcPr>
            <w:tcW w:w="2985" w:type="dxa"/>
            <w:vAlign w:val="center"/>
          </w:tcPr>
          <w:p w14:paraId="1AE2AE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default" w:asciiTheme="minorEastAsia" w:hAnsiTheme="minorEastAsia" w:eastAsiaTheme="minorEastAsia" w:cstheme="minorEastAsia"/>
                <w:color w:val="auto"/>
                <w:kern w:val="0"/>
                <w:sz w:val="24"/>
                <w:szCs w:val="24"/>
                <w:highlight w:val="none"/>
                <w:lang w:val="en-US" w:eastAsia="zh-CN" w:bidi="ar-SA"/>
              </w:rPr>
              <w:t>35kg国标</w:t>
            </w:r>
          </w:p>
        </w:tc>
        <w:tc>
          <w:tcPr>
            <w:tcW w:w="765" w:type="dxa"/>
            <w:vAlign w:val="center"/>
          </w:tcPr>
          <w:p w14:paraId="00B097F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675" w:type="dxa"/>
            <w:vAlign w:val="center"/>
          </w:tcPr>
          <w:p w14:paraId="7C8DF20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C5152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675</w:t>
            </w:r>
          </w:p>
        </w:tc>
        <w:tc>
          <w:tcPr>
            <w:tcW w:w="1070" w:type="dxa"/>
            <w:vAlign w:val="center"/>
          </w:tcPr>
          <w:p w14:paraId="4307D8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54000</w:t>
            </w:r>
          </w:p>
        </w:tc>
      </w:tr>
      <w:tr w14:paraId="2748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88FF2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w:t>
            </w:r>
          </w:p>
        </w:tc>
        <w:tc>
          <w:tcPr>
            <w:tcW w:w="2670" w:type="dxa"/>
            <w:vAlign w:val="center"/>
          </w:tcPr>
          <w:p w14:paraId="712C50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手提式强力探照灯</w:t>
            </w:r>
          </w:p>
        </w:tc>
        <w:tc>
          <w:tcPr>
            <w:tcW w:w="2985" w:type="dxa"/>
            <w:vAlign w:val="center"/>
          </w:tcPr>
          <w:p w14:paraId="4C876C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29ED74C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75" w:type="dxa"/>
            <w:vAlign w:val="center"/>
          </w:tcPr>
          <w:p w14:paraId="34ED6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775AF9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1070" w:type="dxa"/>
            <w:vAlign w:val="center"/>
          </w:tcPr>
          <w:p w14:paraId="020274C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728</w:t>
            </w:r>
          </w:p>
        </w:tc>
      </w:tr>
      <w:tr w14:paraId="246F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0662C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c>
          <w:tcPr>
            <w:tcW w:w="2670" w:type="dxa"/>
            <w:vAlign w:val="center"/>
          </w:tcPr>
          <w:p w14:paraId="3D8CC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消防栓外框</w:t>
            </w:r>
          </w:p>
        </w:tc>
        <w:tc>
          <w:tcPr>
            <w:tcW w:w="2985" w:type="dxa"/>
            <w:vAlign w:val="center"/>
          </w:tcPr>
          <w:p w14:paraId="6A1BBF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800mm*650mm*240mm</w:t>
            </w:r>
          </w:p>
        </w:tc>
        <w:tc>
          <w:tcPr>
            <w:tcW w:w="765" w:type="dxa"/>
            <w:vAlign w:val="center"/>
          </w:tcPr>
          <w:p w14:paraId="6E4E8FE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675" w:type="dxa"/>
            <w:vAlign w:val="center"/>
          </w:tcPr>
          <w:p w14:paraId="79605F6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429DDC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070" w:type="dxa"/>
            <w:vAlign w:val="center"/>
          </w:tcPr>
          <w:p w14:paraId="7D4FD23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1496</w:t>
            </w:r>
          </w:p>
        </w:tc>
      </w:tr>
      <w:tr w14:paraId="66B9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D15CD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w:t>
            </w:r>
          </w:p>
        </w:tc>
        <w:tc>
          <w:tcPr>
            <w:tcW w:w="2670" w:type="dxa"/>
            <w:vAlign w:val="center"/>
          </w:tcPr>
          <w:p w14:paraId="6057E5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消防栓面板</w:t>
            </w:r>
          </w:p>
        </w:tc>
        <w:tc>
          <w:tcPr>
            <w:tcW w:w="2985" w:type="dxa"/>
            <w:vAlign w:val="center"/>
          </w:tcPr>
          <w:p w14:paraId="4F5927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有机玻璃板680mm*530mm</w:t>
            </w:r>
          </w:p>
        </w:tc>
        <w:tc>
          <w:tcPr>
            <w:tcW w:w="765" w:type="dxa"/>
            <w:vAlign w:val="center"/>
          </w:tcPr>
          <w:p w14:paraId="5F9D79D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675" w:type="dxa"/>
            <w:vAlign w:val="center"/>
          </w:tcPr>
          <w:p w14:paraId="5C8694A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960" w:type="dxa"/>
            <w:vAlign w:val="center"/>
          </w:tcPr>
          <w:p w14:paraId="49ABF28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D56CF3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989</w:t>
            </w:r>
          </w:p>
        </w:tc>
      </w:tr>
      <w:tr w14:paraId="187B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6BDF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w:t>
            </w:r>
          </w:p>
        </w:tc>
        <w:tc>
          <w:tcPr>
            <w:tcW w:w="2670" w:type="dxa"/>
            <w:vAlign w:val="center"/>
          </w:tcPr>
          <w:p w14:paraId="310678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消防栓水带</w:t>
            </w:r>
          </w:p>
        </w:tc>
        <w:tc>
          <w:tcPr>
            <w:tcW w:w="2985" w:type="dxa"/>
            <w:vAlign w:val="center"/>
          </w:tcPr>
          <w:p w14:paraId="4880FE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8-65-25型国标</w:t>
            </w:r>
          </w:p>
        </w:tc>
        <w:tc>
          <w:tcPr>
            <w:tcW w:w="765" w:type="dxa"/>
            <w:vAlign w:val="center"/>
          </w:tcPr>
          <w:p w14:paraId="14D7A5B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675" w:type="dxa"/>
            <w:vAlign w:val="center"/>
          </w:tcPr>
          <w:p w14:paraId="24EA491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68C27A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6F10817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9516</w:t>
            </w:r>
          </w:p>
        </w:tc>
      </w:tr>
      <w:tr w14:paraId="0698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71" w:type="dxa"/>
            <w:vAlign w:val="center"/>
          </w:tcPr>
          <w:p w14:paraId="446B5D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w:t>
            </w:r>
          </w:p>
        </w:tc>
        <w:tc>
          <w:tcPr>
            <w:tcW w:w="2670" w:type="dxa"/>
            <w:vAlign w:val="center"/>
          </w:tcPr>
          <w:p w14:paraId="16288F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被监管人员消防裤子及消防服</w:t>
            </w:r>
          </w:p>
        </w:tc>
        <w:tc>
          <w:tcPr>
            <w:tcW w:w="2985" w:type="dxa"/>
            <w:vAlign w:val="center"/>
          </w:tcPr>
          <w:p w14:paraId="2947FB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256329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39EED66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34B946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232</w:t>
            </w:r>
          </w:p>
        </w:tc>
        <w:tc>
          <w:tcPr>
            <w:tcW w:w="1070" w:type="dxa"/>
            <w:vAlign w:val="center"/>
          </w:tcPr>
          <w:p w14:paraId="5965154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2552</w:t>
            </w:r>
          </w:p>
        </w:tc>
      </w:tr>
      <w:tr w14:paraId="43AE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4EB7D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w:t>
            </w:r>
          </w:p>
        </w:tc>
        <w:tc>
          <w:tcPr>
            <w:tcW w:w="2670" w:type="dxa"/>
            <w:vAlign w:val="center"/>
          </w:tcPr>
          <w:p w14:paraId="3F20E4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绝缘手套男士正常码</w:t>
            </w:r>
          </w:p>
        </w:tc>
        <w:tc>
          <w:tcPr>
            <w:tcW w:w="2985" w:type="dxa"/>
            <w:vAlign w:val="center"/>
          </w:tcPr>
          <w:p w14:paraId="164F8B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DD20E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588252A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E3FFED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070" w:type="dxa"/>
            <w:vAlign w:val="center"/>
          </w:tcPr>
          <w:p w14:paraId="275FB5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154</w:t>
            </w:r>
          </w:p>
        </w:tc>
      </w:tr>
      <w:tr w14:paraId="094F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F7B2C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w:t>
            </w:r>
          </w:p>
        </w:tc>
        <w:tc>
          <w:tcPr>
            <w:tcW w:w="2670" w:type="dxa"/>
            <w:vAlign w:val="center"/>
          </w:tcPr>
          <w:p w14:paraId="6D5000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防汛沙袋</w:t>
            </w:r>
          </w:p>
        </w:tc>
        <w:tc>
          <w:tcPr>
            <w:tcW w:w="2985" w:type="dxa"/>
            <w:vAlign w:val="center"/>
          </w:tcPr>
          <w:p w14:paraId="79C006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362C80C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7002D4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745F7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070" w:type="dxa"/>
            <w:vAlign w:val="center"/>
          </w:tcPr>
          <w:p w14:paraId="04E8EA5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r>
      <w:tr w14:paraId="4F2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2C2CB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w:t>
            </w:r>
          </w:p>
        </w:tc>
        <w:tc>
          <w:tcPr>
            <w:tcW w:w="2670" w:type="dxa"/>
            <w:vAlign w:val="center"/>
          </w:tcPr>
          <w:p w14:paraId="732584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手持式应急照明灯</w:t>
            </w:r>
          </w:p>
        </w:tc>
        <w:tc>
          <w:tcPr>
            <w:tcW w:w="2985" w:type="dxa"/>
            <w:vAlign w:val="center"/>
          </w:tcPr>
          <w:p w14:paraId="469F72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6317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675" w:type="dxa"/>
            <w:vAlign w:val="center"/>
          </w:tcPr>
          <w:p w14:paraId="78A4472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B2C1C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392F63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3050</w:t>
            </w:r>
          </w:p>
        </w:tc>
      </w:tr>
      <w:tr w14:paraId="418A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34F7E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w:t>
            </w:r>
          </w:p>
        </w:tc>
        <w:tc>
          <w:tcPr>
            <w:tcW w:w="2670" w:type="dxa"/>
            <w:vAlign w:val="center"/>
          </w:tcPr>
          <w:p w14:paraId="6188BA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CO₂二氧化碳灭火器</w:t>
            </w:r>
          </w:p>
        </w:tc>
        <w:tc>
          <w:tcPr>
            <w:tcW w:w="2985" w:type="dxa"/>
            <w:vAlign w:val="center"/>
          </w:tcPr>
          <w:p w14:paraId="3FAEA3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2kg国标</w:t>
            </w:r>
          </w:p>
        </w:tc>
        <w:tc>
          <w:tcPr>
            <w:tcW w:w="765" w:type="dxa"/>
            <w:vAlign w:val="center"/>
          </w:tcPr>
          <w:p w14:paraId="4C0BBCF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675" w:type="dxa"/>
            <w:vAlign w:val="center"/>
          </w:tcPr>
          <w:p w14:paraId="48B535A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858361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1070" w:type="dxa"/>
            <w:vAlign w:val="center"/>
          </w:tcPr>
          <w:p w14:paraId="2403813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4320</w:t>
            </w:r>
          </w:p>
        </w:tc>
      </w:tr>
      <w:tr w14:paraId="0F3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C10FE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w:t>
            </w:r>
          </w:p>
        </w:tc>
        <w:tc>
          <w:tcPr>
            <w:tcW w:w="2670" w:type="dxa"/>
            <w:vAlign w:val="center"/>
          </w:tcPr>
          <w:p w14:paraId="777CC8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民警消防服</w:t>
            </w:r>
          </w:p>
        </w:tc>
        <w:tc>
          <w:tcPr>
            <w:tcW w:w="2985" w:type="dxa"/>
            <w:vAlign w:val="center"/>
          </w:tcPr>
          <w:p w14:paraId="636CBB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4B4E07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61D0980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7A7B4C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c>
          <w:tcPr>
            <w:tcW w:w="1070" w:type="dxa"/>
            <w:vAlign w:val="center"/>
          </w:tcPr>
          <w:p w14:paraId="19AFAF9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r>
      <w:tr w14:paraId="103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8532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w:t>
            </w:r>
          </w:p>
        </w:tc>
        <w:tc>
          <w:tcPr>
            <w:tcW w:w="2670" w:type="dxa"/>
            <w:vAlign w:val="center"/>
          </w:tcPr>
          <w:p w14:paraId="7DF071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安全头盔</w:t>
            </w:r>
          </w:p>
        </w:tc>
        <w:tc>
          <w:tcPr>
            <w:tcW w:w="2985" w:type="dxa"/>
            <w:vAlign w:val="center"/>
          </w:tcPr>
          <w:p w14:paraId="510428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70DB99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5B9C25B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3C7B92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2E400B2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r>
      <w:tr w14:paraId="7331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C2499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w:t>
            </w:r>
          </w:p>
        </w:tc>
        <w:tc>
          <w:tcPr>
            <w:tcW w:w="2670" w:type="dxa"/>
            <w:vAlign w:val="center"/>
          </w:tcPr>
          <w:p w14:paraId="69B22D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悬挂式干粉灭火器</w:t>
            </w:r>
          </w:p>
        </w:tc>
        <w:tc>
          <w:tcPr>
            <w:tcW w:w="2985" w:type="dxa"/>
            <w:vAlign w:val="center"/>
          </w:tcPr>
          <w:p w14:paraId="739806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339A51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79CD2F9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5DF917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070" w:type="dxa"/>
            <w:vAlign w:val="center"/>
          </w:tcPr>
          <w:p w14:paraId="0CA591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r>
      <w:tr w14:paraId="02E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9815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16</w:t>
            </w:r>
          </w:p>
        </w:tc>
        <w:tc>
          <w:tcPr>
            <w:tcW w:w="2670" w:type="dxa"/>
            <w:vAlign w:val="center"/>
          </w:tcPr>
          <w:p w14:paraId="20B8AA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灭火箱</w:t>
            </w:r>
          </w:p>
        </w:tc>
        <w:tc>
          <w:tcPr>
            <w:tcW w:w="2985" w:type="dxa"/>
            <w:vAlign w:val="center"/>
          </w:tcPr>
          <w:p w14:paraId="096061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4kg(2只装）国标</w:t>
            </w:r>
          </w:p>
        </w:tc>
        <w:tc>
          <w:tcPr>
            <w:tcW w:w="765" w:type="dxa"/>
            <w:vAlign w:val="center"/>
          </w:tcPr>
          <w:p w14:paraId="55953A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675" w:type="dxa"/>
            <w:vAlign w:val="center"/>
          </w:tcPr>
          <w:p w14:paraId="136E4A4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04CAE95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70" w:type="dxa"/>
            <w:vAlign w:val="center"/>
          </w:tcPr>
          <w:p w14:paraId="55781D1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1300</w:t>
            </w:r>
          </w:p>
        </w:tc>
      </w:tr>
      <w:tr w14:paraId="683E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65725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17</w:t>
            </w:r>
          </w:p>
        </w:tc>
        <w:tc>
          <w:tcPr>
            <w:tcW w:w="2670" w:type="dxa"/>
            <w:vAlign w:val="center"/>
          </w:tcPr>
          <w:p w14:paraId="5539E2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夜光标识牌</w:t>
            </w:r>
          </w:p>
        </w:tc>
        <w:tc>
          <w:tcPr>
            <w:tcW w:w="2985" w:type="dxa"/>
            <w:vAlign w:val="center"/>
          </w:tcPr>
          <w:p w14:paraId="618D8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77606B8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522C7F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474FC6B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070" w:type="dxa"/>
            <w:vAlign w:val="center"/>
          </w:tcPr>
          <w:p w14:paraId="0FC11B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r>
      <w:tr w14:paraId="55D1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710A7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w:t>
            </w:r>
          </w:p>
        </w:tc>
        <w:tc>
          <w:tcPr>
            <w:tcW w:w="2670" w:type="dxa"/>
            <w:vAlign w:val="center"/>
          </w:tcPr>
          <w:p w14:paraId="062E84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水带接扣</w:t>
            </w:r>
          </w:p>
        </w:tc>
        <w:tc>
          <w:tcPr>
            <w:tcW w:w="2985" w:type="dxa"/>
            <w:vAlign w:val="center"/>
          </w:tcPr>
          <w:p w14:paraId="492A7E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双接头国标</w:t>
            </w:r>
          </w:p>
        </w:tc>
        <w:tc>
          <w:tcPr>
            <w:tcW w:w="765" w:type="dxa"/>
            <w:vAlign w:val="center"/>
          </w:tcPr>
          <w:p w14:paraId="1C25B9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73B109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2837A12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527AAD8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1CF3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8D49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19</w:t>
            </w:r>
          </w:p>
        </w:tc>
        <w:tc>
          <w:tcPr>
            <w:tcW w:w="2670" w:type="dxa"/>
            <w:vAlign w:val="center"/>
          </w:tcPr>
          <w:p w14:paraId="25386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水带枪头</w:t>
            </w:r>
          </w:p>
        </w:tc>
        <w:tc>
          <w:tcPr>
            <w:tcW w:w="2985" w:type="dxa"/>
            <w:vAlign w:val="center"/>
          </w:tcPr>
          <w:p w14:paraId="726B82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17EE55F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F5D91A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960" w:type="dxa"/>
            <w:vAlign w:val="center"/>
          </w:tcPr>
          <w:p w14:paraId="733BF2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AB9E7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21A5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D7523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w:t>
            </w:r>
          </w:p>
        </w:tc>
        <w:tc>
          <w:tcPr>
            <w:tcW w:w="2670" w:type="dxa"/>
            <w:vAlign w:val="center"/>
          </w:tcPr>
          <w:p w14:paraId="16805D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各类安全标识</w:t>
            </w:r>
          </w:p>
        </w:tc>
        <w:tc>
          <w:tcPr>
            <w:tcW w:w="2985" w:type="dxa"/>
            <w:vAlign w:val="center"/>
          </w:tcPr>
          <w:p w14:paraId="07B9D7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3754D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675" w:type="dxa"/>
            <w:vAlign w:val="center"/>
          </w:tcPr>
          <w:p w14:paraId="51D4395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797F711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0ABE9BF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w:t>
            </w:r>
          </w:p>
        </w:tc>
      </w:tr>
      <w:tr w14:paraId="1FA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B6BB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21</w:t>
            </w:r>
          </w:p>
        </w:tc>
        <w:tc>
          <w:tcPr>
            <w:tcW w:w="2670" w:type="dxa"/>
            <w:vAlign w:val="center"/>
          </w:tcPr>
          <w:p w14:paraId="3446E6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消防器材存放柜</w:t>
            </w:r>
          </w:p>
        </w:tc>
        <w:tc>
          <w:tcPr>
            <w:tcW w:w="2985" w:type="dxa"/>
            <w:vAlign w:val="center"/>
          </w:tcPr>
          <w:p w14:paraId="313E54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1.8m*1.20m*0.4m</w:t>
            </w:r>
          </w:p>
        </w:tc>
        <w:tc>
          <w:tcPr>
            <w:tcW w:w="765" w:type="dxa"/>
            <w:vAlign w:val="center"/>
          </w:tcPr>
          <w:p w14:paraId="64FB25C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0CD0519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19F487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c>
          <w:tcPr>
            <w:tcW w:w="1070" w:type="dxa"/>
            <w:vAlign w:val="center"/>
          </w:tcPr>
          <w:p w14:paraId="1A7156F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r>
      <w:tr w14:paraId="3525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0FD9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22</w:t>
            </w:r>
          </w:p>
        </w:tc>
        <w:tc>
          <w:tcPr>
            <w:tcW w:w="2670" w:type="dxa"/>
            <w:vAlign w:val="center"/>
          </w:tcPr>
          <w:p w14:paraId="139B24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疏散标志灯</w:t>
            </w:r>
          </w:p>
        </w:tc>
        <w:tc>
          <w:tcPr>
            <w:tcW w:w="2985" w:type="dxa"/>
            <w:vAlign w:val="center"/>
          </w:tcPr>
          <w:p w14:paraId="0ACC9D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CE22E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1E4376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盏</w:t>
            </w:r>
          </w:p>
        </w:tc>
        <w:tc>
          <w:tcPr>
            <w:tcW w:w="960" w:type="dxa"/>
            <w:vAlign w:val="center"/>
          </w:tcPr>
          <w:p w14:paraId="52B402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070" w:type="dxa"/>
            <w:vAlign w:val="center"/>
          </w:tcPr>
          <w:p w14:paraId="34182C3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r>
      <w:tr w14:paraId="4E7B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26" w:type="dxa"/>
            <w:gridSpan w:val="6"/>
            <w:vAlign w:val="center"/>
          </w:tcPr>
          <w:p w14:paraId="0C60A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合计金额（元）</w:t>
            </w:r>
          </w:p>
        </w:tc>
        <w:tc>
          <w:tcPr>
            <w:tcW w:w="1070" w:type="dxa"/>
            <w:vAlign w:val="center"/>
          </w:tcPr>
          <w:p w14:paraId="3F4D9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96438</w:t>
            </w:r>
          </w:p>
        </w:tc>
      </w:tr>
      <w:bookmarkEnd w:id="3"/>
      <w:bookmarkEnd w:id="4"/>
      <w:bookmarkEnd w:id="5"/>
      <w:bookmarkEnd w:id="6"/>
    </w:tbl>
    <w:p w14:paraId="27AFA868">
      <w:pPr>
        <w:pStyle w:val="9"/>
        <w:keepNext w:val="0"/>
        <w:keepLines w:val="0"/>
        <w:pageBreakBefore w:val="0"/>
        <w:widowControl w:val="0"/>
        <w:kinsoku/>
        <w:wordWrap/>
        <w:overflowPunct/>
        <w:topLinePunct w:val="0"/>
        <w:autoSpaceDE/>
        <w:autoSpaceDN/>
        <w:bidi w:val="0"/>
        <w:adjustRightInd/>
        <w:snapToGrid/>
        <w:spacing w:after="0" w:line="420" w:lineRule="exact"/>
        <w:ind w:left="0"/>
        <w:textAlignment w:val="auto"/>
        <w:rPr>
          <w:rFonts w:ascii="宋体" w:hAnsi="宋体" w:cs="宋体"/>
          <w:b/>
          <w:bCs/>
          <w:color w:val="auto"/>
          <w:kern w:val="0"/>
          <w:sz w:val="24"/>
        </w:rPr>
      </w:pPr>
      <w:r>
        <w:rPr>
          <w:rFonts w:hint="eastAsia" w:ascii="新宋体" w:hAnsi="新宋体" w:eastAsia="新宋体" w:cs="新宋体"/>
          <w:b/>
          <w:bCs/>
          <w:color w:val="auto"/>
          <w:sz w:val="24"/>
        </w:rPr>
        <w:t xml:space="preserve"> </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6414BE9E">
      <w:pPr>
        <w:keepNext w:val="0"/>
        <w:keepLines w:val="0"/>
        <w:pageBreakBefore w:val="0"/>
        <w:widowControl/>
        <w:kinsoku/>
        <w:wordWrap/>
        <w:overflowPunct/>
        <w:topLinePunct w:val="0"/>
        <w:autoSpaceDE/>
        <w:autoSpaceDN/>
        <w:bidi w:val="0"/>
        <w:spacing w:line="420" w:lineRule="exact"/>
        <w:ind w:firstLine="482" w:firstLineChars="200"/>
        <w:jc w:val="left"/>
        <w:rPr>
          <w:rFonts w:hint="default" w:ascii="宋体" w:hAnsi="宋体" w:cs="宋体"/>
          <w:bCs/>
          <w:color w:val="auto"/>
          <w:sz w:val="24"/>
          <w:highlight w:val="none"/>
          <w:lang w:val="en-US"/>
        </w:rPr>
      </w:pPr>
      <w:r>
        <w:rPr>
          <w:rFonts w:hint="eastAsia" w:ascii="宋体" w:hAnsi="宋体" w:cs="宋体"/>
          <w:b/>
          <w:bCs/>
          <w:color w:val="auto"/>
          <w:sz w:val="24"/>
        </w:rPr>
        <w:t>1.</w:t>
      </w:r>
      <w:r>
        <w:rPr>
          <w:rFonts w:hint="eastAsia" w:ascii="宋体" w:hAnsi="宋体" w:cs="宋体"/>
          <w:b/>
          <w:bCs/>
          <w:color w:val="auto"/>
          <w:kern w:val="0"/>
          <w:sz w:val="24"/>
        </w:rPr>
        <w:t>交</w:t>
      </w:r>
      <w:r>
        <w:rPr>
          <w:rFonts w:hint="eastAsia" w:ascii="宋体" w:hAnsi="宋体" w:cs="宋体"/>
          <w:b/>
          <w:bCs/>
          <w:color w:val="auto"/>
          <w:kern w:val="0"/>
          <w:sz w:val="24"/>
          <w:lang w:val="en-US" w:eastAsia="zh-CN"/>
        </w:rPr>
        <w:t>货</w:t>
      </w:r>
      <w:r>
        <w:rPr>
          <w:rFonts w:hint="eastAsia" w:ascii="宋体" w:hAnsi="宋体" w:cs="宋体"/>
          <w:b/>
          <w:bCs/>
          <w:color w:val="auto"/>
          <w:kern w:val="0"/>
          <w:sz w:val="24"/>
        </w:rPr>
        <w:t>时</w:t>
      </w:r>
      <w:r>
        <w:rPr>
          <w:rFonts w:hint="eastAsia" w:ascii="宋体" w:hAnsi="宋体" w:cs="宋体"/>
          <w:b/>
          <w:bCs/>
          <w:color w:val="auto"/>
          <w:kern w:val="0"/>
          <w:sz w:val="24"/>
          <w:highlight w:val="none"/>
        </w:rPr>
        <w:t>间：</w:t>
      </w:r>
      <w:r>
        <w:rPr>
          <w:rFonts w:hint="eastAsia" w:ascii="宋体" w:hAnsi="宋体" w:cs="宋体"/>
          <w:b w:val="0"/>
          <w:bCs w:val="0"/>
          <w:color w:val="auto"/>
          <w:sz w:val="24"/>
          <w:highlight w:val="none"/>
        </w:rPr>
        <w:t>成交供应商</w:t>
      </w:r>
      <w:r>
        <w:rPr>
          <w:rFonts w:hint="eastAsia" w:ascii="宋体" w:hAnsi="宋体" w:cs="宋体"/>
          <w:b w:val="0"/>
          <w:bCs w:val="0"/>
          <w:color w:val="auto"/>
          <w:sz w:val="24"/>
          <w:highlight w:val="none"/>
          <w:lang w:val="en-US" w:eastAsia="zh-CN"/>
        </w:rPr>
        <w:t>按照采购人的供货通知，48小时内送货。</w:t>
      </w:r>
    </w:p>
    <w:p w14:paraId="282514EB">
      <w:pPr>
        <w:keepNext w:val="0"/>
        <w:keepLines w:val="0"/>
        <w:pageBreakBefore w:val="0"/>
        <w:widowControl/>
        <w:kinsoku/>
        <w:wordWrap/>
        <w:overflowPunct/>
        <w:topLinePunct w:val="0"/>
        <w:autoSpaceDE/>
        <w:autoSpaceDN/>
        <w:bidi w:val="0"/>
        <w:spacing w:line="420" w:lineRule="exact"/>
        <w:ind w:firstLine="482" w:firstLineChars="200"/>
        <w:jc w:val="left"/>
        <w:rPr>
          <w:rFonts w:hint="eastAsia" w:ascii="宋体" w:hAnsi="宋体" w:cs="宋体"/>
          <w:b w:val="0"/>
          <w:bCs w:val="0"/>
          <w:color w:val="auto"/>
          <w:sz w:val="24"/>
          <w:highlight w:val="none"/>
        </w:rPr>
      </w:pPr>
      <w:r>
        <w:rPr>
          <w:rFonts w:hint="eastAsia" w:ascii="宋体" w:hAnsi="宋体" w:cs="宋体"/>
          <w:b/>
          <w:bCs/>
          <w:color w:val="auto"/>
          <w:sz w:val="24"/>
          <w:highlight w:val="none"/>
        </w:rPr>
        <w:t>2.交</w:t>
      </w:r>
      <w:r>
        <w:rPr>
          <w:rFonts w:hint="eastAsia" w:ascii="宋体" w:hAnsi="宋体" w:cs="宋体"/>
          <w:b/>
          <w:bCs/>
          <w:color w:val="auto"/>
          <w:kern w:val="0"/>
          <w:sz w:val="24"/>
          <w:lang w:val="en-US" w:eastAsia="zh-CN"/>
        </w:rPr>
        <w:t>货</w:t>
      </w:r>
      <w:r>
        <w:rPr>
          <w:rFonts w:hint="eastAsia" w:ascii="宋体" w:hAnsi="宋体" w:cs="宋体"/>
          <w:b/>
          <w:bCs/>
          <w:color w:val="auto"/>
          <w:sz w:val="24"/>
          <w:highlight w:val="none"/>
        </w:rPr>
        <w:t>地点：</w:t>
      </w:r>
      <w:r>
        <w:rPr>
          <w:rFonts w:hint="eastAsia" w:ascii="宋体" w:hAnsi="宋体" w:cs="宋体"/>
          <w:b w:val="0"/>
          <w:bCs w:val="0"/>
          <w:color w:val="auto"/>
          <w:sz w:val="24"/>
          <w:highlight w:val="none"/>
        </w:rPr>
        <w:t>成交供应商根据</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的实际需求量供货，将货物送至</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指定地点</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 xml:space="preserve"> </w:t>
      </w:r>
    </w:p>
    <w:p w14:paraId="38E1BF72">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Cs/>
          <w:color w:val="auto"/>
          <w:highlight w:val="none"/>
        </w:rPr>
      </w:pPr>
      <w:r>
        <w:rPr>
          <w:rFonts w:hint="eastAsia"/>
          <w:b/>
          <w:color w:val="auto"/>
          <w:highlight w:val="none"/>
        </w:rPr>
        <w:t>3.交付条件</w:t>
      </w:r>
      <w:r>
        <w:rPr>
          <w:rFonts w:hint="eastAsia"/>
          <w:color w:val="auto"/>
          <w:highlight w:val="none"/>
        </w:rPr>
        <w:t>：</w:t>
      </w:r>
      <w:r>
        <w:rPr>
          <w:rFonts w:hint="eastAsia" w:ascii="宋体" w:hAnsi="宋体" w:cs="宋体"/>
          <w:b w:val="0"/>
          <w:bCs w:val="0"/>
          <w:color w:val="auto"/>
          <w:sz w:val="24"/>
          <w:highlight w:val="none"/>
        </w:rPr>
        <w:t>成交供应商</w:t>
      </w:r>
      <w:r>
        <w:rPr>
          <w:rFonts w:hint="eastAsia"/>
          <w:bCs/>
          <w:color w:val="auto"/>
          <w:highlight w:val="none"/>
        </w:rPr>
        <w:t>根据</w:t>
      </w:r>
      <w:r>
        <w:rPr>
          <w:rFonts w:hint="eastAsia" w:ascii="宋体" w:hAnsi="宋体" w:cs="宋体"/>
          <w:b w:val="0"/>
          <w:bCs w:val="0"/>
          <w:color w:val="auto"/>
          <w:sz w:val="24"/>
          <w:highlight w:val="none"/>
          <w:lang w:val="en-US" w:eastAsia="zh-CN"/>
        </w:rPr>
        <w:t>采购人</w:t>
      </w:r>
      <w:r>
        <w:rPr>
          <w:rFonts w:hint="eastAsia"/>
          <w:bCs/>
          <w:color w:val="auto"/>
          <w:highlight w:val="none"/>
        </w:rPr>
        <w:t>的实际需求量分批次供货，具体送货时间以</w:t>
      </w:r>
      <w:r>
        <w:rPr>
          <w:rFonts w:hint="eastAsia" w:ascii="宋体" w:hAnsi="宋体" w:cs="宋体"/>
          <w:b w:val="0"/>
          <w:bCs w:val="0"/>
          <w:color w:val="auto"/>
          <w:sz w:val="24"/>
          <w:highlight w:val="none"/>
          <w:lang w:val="en-US" w:eastAsia="zh-CN"/>
        </w:rPr>
        <w:t>采购人</w:t>
      </w:r>
      <w:r>
        <w:rPr>
          <w:rFonts w:hint="eastAsia"/>
          <w:bCs/>
          <w:color w:val="auto"/>
          <w:highlight w:val="none"/>
        </w:rPr>
        <w:t>通知为准。经</w:t>
      </w:r>
      <w:r>
        <w:rPr>
          <w:rFonts w:hint="eastAsia" w:ascii="宋体" w:hAnsi="宋体" w:cs="宋体"/>
          <w:b w:val="0"/>
          <w:bCs w:val="0"/>
          <w:color w:val="auto"/>
          <w:sz w:val="24"/>
          <w:highlight w:val="none"/>
          <w:lang w:val="en-US" w:eastAsia="zh-CN"/>
        </w:rPr>
        <w:t>采购人</w:t>
      </w:r>
      <w:r>
        <w:rPr>
          <w:rFonts w:hint="eastAsia"/>
          <w:bCs/>
          <w:color w:val="auto"/>
          <w:highlight w:val="none"/>
        </w:rPr>
        <w:t>验收人员验收后，签收供货清单(作为结算凭据)。</w:t>
      </w:r>
    </w:p>
    <w:p w14:paraId="1D77BC02">
      <w:pPr>
        <w:pStyle w:val="18"/>
        <w:ind w:firstLine="482" w:firstLineChars="200"/>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4.是否邀请供应商验收：</w:t>
      </w:r>
      <w:r>
        <w:rPr>
          <w:rFonts w:hint="eastAsia" w:ascii="宋体" w:hAnsi="宋体" w:eastAsia="宋体" w:cs="宋体"/>
          <w:b w:val="0"/>
          <w:bCs/>
          <w:color w:val="auto"/>
          <w:kern w:val="0"/>
          <w:sz w:val="24"/>
          <w:szCs w:val="24"/>
          <w:highlight w:val="none"/>
          <w:lang w:val="en-US" w:eastAsia="zh-CN" w:bidi="ar-SA"/>
        </w:rPr>
        <w:t>否。</w:t>
      </w:r>
    </w:p>
    <w:p w14:paraId="584B0544">
      <w:pPr>
        <w:pStyle w:val="18"/>
        <w:ind w:firstLine="482" w:firstLineChars="200"/>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5.履约验收方式：</w:t>
      </w:r>
      <w:r>
        <w:rPr>
          <w:rFonts w:hint="eastAsia" w:ascii="宋体" w:hAnsi="宋体" w:eastAsia="宋体" w:cs="宋体"/>
          <w:b w:val="0"/>
          <w:bCs/>
          <w:color w:val="auto"/>
          <w:sz w:val="24"/>
          <w:highlight w:val="none"/>
          <w:lang w:eastAsia="zh-CN"/>
        </w:rPr>
        <w:t>验收结果经双方确认后，双方代表按规定的项目</w:t>
      </w:r>
      <w:r>
        <w:rPr>
          <w:rFonts w:hint="eastAsia" w:ascii="宋体" w:hAnsi="宋体" w:eastAsia="宋体" w:cs="宋体"/>
          <w:b w:val="0"/>
          <w:bCs/>
          <w:color w:val="auto"/>
          <w:sz w:val="24"/>
          <w:highlight w:val="none"/>
          <w:lang w:val="en-US" w:eastAsia="zh-CN"/>
        </w:rPr>
        <w:t>在</w:t>
      </w:r>
      <w:r>
        <w:rPr>
          <w:rFonts w:hint="eastAsia" w:ascii="宋体" w:hAnsi="宋体" w:eastAsia="宋体" w:cs="宋体"/>
          <w:b w:val="0"/>
          <w:bCs/>
          <w:color w:val="auto"/>
          <w:sz w:val="24"/>
          <w:highlight w:val="none"/>
          <w:lang w:eastAsia="zh-CN"/>
        </w:rPr>
        <w:t>验收交接单上填好验收结果并签名。</w:t>
      </w:r>
    </w:p>
    <w:p w14:paraId="5BCFCC2F">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pPr>
      <w:r>
        <w:rPr>
          <w:rFonts w:hint="eastAsia" w:ascii="宋体" w:hAnsi="宋体" w:eastAsia="宋体" w:cs="宋体"/>
          <w:b/>
          <w:color w:val="auto"/>
          <w:kern w:val="0"/>
          <w:sz w:val="24"/>
          <w:szCs w:val="24"/>
          <w:highlight w:val="none"/>
          <w:lang w:val="en-US" w:eastAsia="zh-CN" w:bidi="ar-SA"/>
        </w:rPr>
        <w:t>6.合同支付方式：</w:t>
      </w:r>
      <w:r>
        <w:rPr>
          <w:rFonts w:hint="eastAsia"/>
          <w:color w:val="000000" w:themeColor="text1"/>
          <w14:textFill>
            <w14:solidFill>
              <w14:schemeClr w14:val="tx1"/>
            </w14:solidFill>
          </w14:textFill>
        </w:rPr>
        <w:t>全部货物交</w:t>
      </w:r>
      <w:r>
        <w:rPr>
          <w:rFonts w:hint="eastAsia"/>
          <w:color w:val="000000" w:themeColor="text1"/>
          <w:lang w:val="en-US" w:eastAsia="zh-CN"/>
          <w14:textFill>
            <w14:solidFill>
              <w14:schemeClr w14:val="tx1"/>
            </w14:solidFill>
          </w14:textFill>
        </w:rPr>
        <w:t>付</w:t>
      </w:r>
      <w:r>
        <w:rPr>
          <w:rFonts w:hint="eastAsia"/>
          <w:color w:val="auto"/>
        </w:rPr>
        <w:t>且经验收合格后，</w:t>
      </w:r>
      <w:r>
        <w:rPr>
          <w:rFonts w:hint="eastAsia"/>
          <w:bCs/>
          <w:color w:val="auto"/>
          <w:lang w:eastAsia="zh-CN"/>
        </w:rPr>
        <w:t>成交供应商</w:t>
      </w:r>
      <w:r>
        <w:rPr>
          <w:rFonts w:hint="eastAsia"/>
          <w:bCs/>
          <w:color w:val="auto"/>
        </w:rPr>
        <w:t>向采购人提供</w:t>
      </w:r>
      <w:r>
        <w:rPr>
          <w:rFonts w:hint="default" w:ascii="宋体" w:hAnsi="宋体" w:eastAsia="宋体" w:cs="宋体"/>
          <w:b w:val="0"/>
          <w:bCs/>
          <w:color w:val="auto"/>
          <w:kern w:val="0"/>
          <w:sz w:val="24"/>
          <w:szCs w:val="24"/>
          <w:highlight w:val="none"/>
          <w:lang w:val="en-US" w:eastAsia="zh-CN" w:bidi="ar-SA"/>
        </w:rPr>
        <w:t>合法有效的等额增值税专用发票</w:t>
      </w:r>
      <w:r>
        <w:rPr>
          <w:rFonts w:hint="eastAsia"/>
          <w:bCs/>
          <w:color w:val="auto"/>
          <w:highlight w:val="none"/>
        </w:rPr>
        <w:t>及相关材料</w:t>
      </w:r>
      <w:r>
        <w:rPr>
          <w:rFonts w:hint="eastAsia"/>
          <w:bCs/>
          <w:color w:val="auto"/>
          <w:highlight w:val="none"/>
          <w:lang w:eastAsia="zh-CN"/>
        </w:rPr>
        <w:t>，</w:t>
      </w:r>
      <w:r>
        <w:rPr>
          <w:rFonts w:hint="eastAsia"/>
          <w:bCs/>
          <w:color w:val="auto"/>
          <w:highlight w:val="none"/>
          <w:lang w:val="en-US" w:eastAsia="zh-CN"/>
        </w:rPr>
        <w:t>采购人</w:t>
      </w:r>
      <w:r>
        <w:rPr>
          <w:rFonts w:hint="eastAsia"/>
          <w:bCs/>
          <w:color w:val="auto"/>
          <w:highlight w:val="none"/>
          <w:lang w:eastAsia="zh-CN"/>
        </w:rPr>
        <w:t>收到发票、收货单等相关材料审核合格后，10个工作日内以</w:t>
      </w:r>
      <w:r>
        <w:rPr>
          <w:rFonts w:hint="eastAsia"/>
          <w:bCs/>
          <w:color w:val="auto"/>
          <w:highlight w:val="none"/>
          <w:lang w:val="en-US" w:eastAsia="zh-CN"/>
        </w:rPr>
        <w:t>银行</w:t>
      </w:r>
      <w:r>
        <w:rPr>
          <w:rFonts w:hint="eastAsia"/>
          <w:bCs/>
          <w:color w:val="auto"/>
          <w:highlight w:val="none"/>
          <w:lang w:eastAsia="zh-CN"/>
        </w:rPr>
        <w:t>转账方式</w:t>
      </w:r>
      <w:r>
        <w:rPr>
          <w:rFonts w:hint="eastAsia"/>
          <w:bCs/>
          <w:color w:val="auto"/>
          <w:highlight w:val="none"/>
        </w:rPr>
        <w:t>支</w:t>
      </w:r>
      <w:r>
        <w:rPr>
          <w:rFonts w:hint="eastAsia"/>
          <w:bCs/>
          <w:color w:val="auto"/>
        </w:rPr>
        <w:t>付</w:t>
      </w:r>
      <w:r>
        <w:rPr>
          <w:rFonts w:hint="eastAsia"/>
          <w:bCs/>
          <w:color w:val="auto"/>
          <w:lang w:val="en-US" w:eastAsia="zh-CN"/>
        </w:rPr>
        <w:t>合同价款的</w:t>
      </w:r>
      <w:r>
        <w:rPr>
          <w:rFonts w:hint="eastAsia"/>
          <w:color w:val="auto"/>
        </w:rPr>
        <w:t>100%。如成交供应商不提供上述发票或提供发票不合格，采购人顺延付款期限且不承担任何责任。</w:t>
      </w:r>
    </w:p>
    <w:p w14:paraId="7023422B">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w:t>
      </w:r>
      <w:r>
        <w:rPr>
          <w:rFonts w:hint="eastAsia" w:ascii="宋体" w:hAnsi="宋体" w:eastAsia="宋体" w:cs="宋体"/>
          <w:b/>
          <w:bCs/>
          <w:color w:val="auto"/>
          <w:sz w:val="24"/>
          <w:szCs w:val="24"/>
          <w:highlight w:val="none"/>
        </w:rPr>
        <w:t>履约保证金：</w:t>
      </w:r>
      <w:r>
        <w:rPr>
          <w:rFonts w:hint="default" w:ascii="宋体" w:hAnsi="宋体" w:eastAsia="宋体" w:cs="宋体"/>
          <w:b w:val="0"/>
          <w:bCs/>
          <w:color w:val="auto"/>
          <w:kern w:val="0"/>
          <w:sz w:val="24"/>
          <w:szCs w:val="24"/>
          <w:highlight w:val="none"/>
          <w:lang w:val="en-US" w:eastAsia="zh-CN" w:bidi="ar-SA"/>
        </w:rPr>
        <w:t>履约保证金百分比：</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%。说明：成交供应商在合同签订前向采购人缴纳合同总金额的</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%作为履约保证金，履约保证金以银行转账、支票、银行无条件支付保函（保函有效期应当涵盖本项目合同履约期）等非现金形式提交。</w:t>
      </w:r>
      <w:r>
        <w:rPr>
          <w:rFonts w:hint="eastAsia" w:ascii="宋体" w:hAnsi="宋体" w:eastAsia="宋体" w:cs="宋体"/>
          <w:sz w:val="24"/>
          <w:szCs w:val="24"/>
        </w:rPr>
        <w:t>该履约保证金在合同约定全部事项履行完毕，经采购人确认双方无未了事项后，</w:t>
      </w:r>
      <w:r>
        <w:rPr>
          <w:rFonts w:hint="eastAsia" w:ascii="宋体" w:hAnsi="宋体" w:eastAsia="宋体" w:cs="宋体"/>
          <w:sz w:val="24"/>
          <w:szCs w:val="24"/>
          <w:lang w:eastAsia="zh-CN"/>
        </w:rPr>
        <w:t>成交供应商</w:t>
      </w:r>
      <w:r>
        <w:rPr>
          <w:rFonts w:hint="eastAsia" w:ascii="宋体" w:hAnsi="宋体" w:eastAsia="宋体" w:cs="宋体"/>
          <w:sz w:val="24"/>
          <w:szCs w:val="24"/>
        </w:rPr>
        <w:t>凭采购合同、履约保证金证明、相关单据及书面申请</w:t>
      </w:r>
      <w:r>
        <w:rPr>
          <w:rFonts w:hint="default" w:ascii="宋体" w:hAnsi="宋体" w:eastAsia="宋体" w:cs="宋体"/>
          <w:b w:val="0"/>
          <w:bCs/>
          <w:color w:val="auto"/>
          <w:kern w:val="0"/>
          <w:sz w:val="24"/>
          <w:szCs w:val="24"/>
          <w:highlight w:val="none"/>
          <w:lang w:val="en-US" w:eastAsia="zh-CN" w:bidi="ar-SA"/>
        </w:rPr>
        <w:t>，采购人在收到成交供应商提交书面申请等材料后</w:t>
      </w:r>
      <w:r>
        <w:rPr>
          <w:rFonts w:hint="eastAsia" w:cs="宋体"/>
          <w:b w:val="0"/>
          <w:bCs/>
          <w:color w:val="auto"/>
          <w:kern w:val="0"/>
          <w:sz w:val="24"/>
          <w:szCs w:val="24"/>
          <w:highlight w:val="none"/>
          <w:lang w:val="en-US" w:eastAsia="zh-CN" w:bidi="ar-SA"/>
        </w:rPr>
        <w:t>30日</w:t>
      </w:r>
      <w:r>
        <w:rPr>
          <w:rFonts w:hint="default" w:ascii="宋体" w:hAnsi="宋体" w:eastAsia="宋体" w:cs="宋体"/>
          <w:b w:val="0"/>
          <w:bCs/>
          <w:color w:val="auto"/>
          <w:kern w:val="0"/>
          <w:sz w:val="24"/>
          <w:szCs w:val="24"/>
          <w:highlight w:val="none"/>
          <w:lang w:val="en-US" w:eastAsia="zh-CN" w:bidi="ar-SA"/>
        </w:rPr>
        <w:t>内无息退还。</w:t>
      </w:r>
    </w:p>
    <w:p w14:paraId="27A150DD">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
          <w:bCs/>
          <w:color w:val="auto"/>
        </w:rPr>
      </w:pPr>
      <w:r>
        <w:rPr>
          <w:rFonts w:hint="eastAsia"/>
          <w:b/>
          <w:bCs/>
          <w:color w:val="auto"/>
          <w:lang w:val="en-US" w:eastAsia="zh-CN"/>
        </w:rPr>
        <w:t>8</w:t>
      </w:r>
      <w:r>
        <w:rPr>
          <w:rFonts w:hint="eastAsia"/>
          <w:b/>
          <w:bCs/>
          <w:color w:val="auto"/>
        </w:rPr>
        <w:t>.</w:t>
      </w:r>
      <w:r>
        <w:rPr>
          <w:rFonts w:hint="eastAsia" w:ascii="宋体" w:hAnsi="宋体" w:eastAsia="宋体" w:cs="宋体"/>
          <w:b/>
          <w:bCs/>
          <w:color w:val="auto"/>
          <w:spacing w:val="0"/>
          <w:kern w:val="0"/>
          <w:sz w:val="24"/>
          <w:szCs w:val="24"/>
          <w:highlight w:val="none"/>
          <w:shd w:val="clear" w:color="auto" w:fill="FFFFFF"/>
          <w:vertAlign w:val="baseline"/>
          <w:lang w:val="en-GB" w:eastAsia="zh-CN" w:bidi="ar-SA"/>
        </w:rPr>
        <w:t>验收方式</w:t>
      </w:r>
      <w:r>
        <w:rPr>
          <w:rFonts w:hint="eastAsia"/>
          <w:b/>
          <w:bCs/>
          <w:color w:val="auto"/>
        </w:rPr>
        <w:t>：</w:t>
      </w:r>
    </w:p>
    <w:p w14:paraId="04A7E6F0">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8.1</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验收标准：货物按生产厂家的产品验收标准、合同中的相关条款进行验收。所有货</w:t>
      </w:r>
    </w:p>
    <w:p w14:paraId="40B03EE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物必须是原装包装。若发现原包装破损或保修条款不满足要求，采购人有权不予接收，并要</w:t>
      </w:r>
    </w:p>
    <w:p w14:paraId="41A1EC7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求成交供应商无条件免费重新更换，并按合同条款的有关规定执行。</w:t>
      </w:r>
    </w:p>
    <w:p w14:paraId="76721CAD">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8.2</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出厂检验：成交供应商负责所提供货物的出厂检验，应按货物技术标准规定的检验项目和检验方法进行全面检验，保证货物原厂地和技术指标的真实性、完整性，并负责将货物送达采购人指定的交货地点。</w:t>
      </w:r>
    </w:p>
    <w:p w14:paraId="2031D4D9">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8.3</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到货验收：货物送至采购人指定地点后，成交供应商和采购人一同拆箱，对其全部货物、零件、配件的型号、规格、数量、外型、外观、包装进行到货验收。</w:t>
      </w:r>
    </w:p>
    <w:p w14:paraId="4505D083">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8.4</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最终验收</w:t>
      </w:r>
    </w:p>
    <w:p w14:paraId="6F472CCF">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安装调试后，由采购人验收组和成交供应商，按照网上竞价文件、响应文件及合同规定的技术、服务、安全标准组织对成交供应商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供应商应无条件免费更换，并无条件重新检测并调试直至验收合格交付使用。在此期间，成交供应商在采购人现场进行安装、调试、集成、试运行直至验收所发生的一切费用由成交供应商承担且已含在响应总价中。</w:t>
      </w:r>
    </w:p>
    <w:p w14:paraId="06CCB234">
      <w:pPr>
        <w:keepNext w:val="0"/>
        <w:keepLines w:val="0"/>
        <w:pageBreakBefore w:val="0"/>
        <w:kinsoku/>
        <w:wordWrap/>
        <w:overflowPunct/>
        <w:topLinePunct w:val="0"/>
        <w:autoSpaceDE/>
        <w:autoSpaceDN/>
        <w:bidi w:val="0"/>
        <w:adjustRightInd w:val="0"/>
        <w:snapToGrid w:val="0"/>
        <w:spacing w:line="420" w:lineRule="exact"/>
        <w:ind w:firstLine="482" w:firstLineChars="200"/>
        <w:outlineLvl w:val="1"/>
        <w:rPr>
          <w:rFonts w:hint="eastAsia" w:ascii="宋体" w:eastAsia="宋体" w:cs="宋体"/>
          <w:b/>
          <w:bCs/>
          <w:color w:val="auto"/>
          <w:sz w:val="24"/>
          <w:lang w:eastAsia="zh-CN"/>
        </w:rPr>
      </w:pPr>
      <w:r>
        <w:rPr>
          <w:rFonts w:hint="eastAsia" w:ascii="宋体" w:hAnsi="宋体" w:cs="宋体"/>
          <w:b/>
          <w:bCs/>
          <w:color w:val="auto"/>
          <w:sz w:val="24"/>
          <w:lang w:val="en-US" w:eastAsia="zh-CN"/>
        </w:rPr>
        <w:t>9</w:t>
      </w:r>
      <w:r>
        <w:rPr>
          <w:rFonts w:ascii="宋体" w:hAnsi="宋体" w:cs="宋体"/>
          <w:b/>
          <w:bCs/>
          <w:color w:val="auto"/>
          <w:sz w:val="24"/>
        </w:rPr>
        <w:t>.</w:t>
      </w:r>
      <w:r>
        <w:rPr>
          <w:rFonts w:hint="eastAsia" w:ascii="宋体" w:hAnsi="宋体" w:cs="宋体"/>
          <w:b/>
          <w:bCs/>
          <w:color w:val="auto"/>
          <w:sz w:val="24"/>
        </w:rPr>
        <w:t>包装及运输</w:t>
      </w:r>
      <w:r>
        <w:rPr>
          <w:rFonts w:hint="eastAsia" w:ascii="宋体" w:hAnsi="宋体" w:cs="宋体"/>
          <w:b/>
          <w:bCs/>
          <w:color w:val="auto"/>
          <w:sz w:val="24"/>
          <w:lang w:eastAsia="zh-CN"/>
        </w:rPr>
        <w:t>：</w:t>
      </w:r>
    </w:p>
    <w:p w14:paraId="4AE57D9C">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货物交货时应按国家有关标准要求进行包装</w:t>
      </w:r>
      <w:r>
        <w:rPr>
          <w:rFonts w:hint="eastAsia" w:ascii="宋体" w:hAnsi="宋体" w:cs="宋体"/>
          <w:color w:val="auto"/>
          <w:sz w:val="24"/>
          <w:lang w:eastAsia="zh-CN"/>
        </w:rPr>
        <w:t>，</w:t>
      </w:r>
      <w:r>
        <w:rPr>
          <w:rFonts w:hint="eastAsia" w:ascii="宋体" w:hAnsi="宋体" w:cs="宋体"/>
          <w:color w:val="auto"/>
          <w:sz w:val="24"/>
        </w:rPr>
        <w:t>包装必须与运输方式相适应，包装方式的确定及包装费用均由</w:t>
      </w:r>
      <w:r>
        <w:rPr>
          <w:rFonts w:hint="eastAsia" w:ascii="宋体" w:hAnsi="宋体" w:cs="宋体"/>
          <w:color w:val="auto"/>
          <w:sz w:val="24"/>
          <w:lang w:eastAsia="zh-CN"/>
        </w:rPr>
        <w:t>成交供应商</w:t>
      </w:r>
      <w:r>
        <w:rPr>
          <w:rFonts w:hint="eastAsia" w:ascii="宋体" w:hAnsi="宋体" w:cs="宋体"/>
          <w:color w:val="auto"/>
          <w:sz w:val="24"/>
        </w:rPr>
        <w:t>负责；由于不适当的包装而造成货物在运输过程中有任何损坏由</w:t>
      </w:r>
      <w:r>
        <w:rPr>
          <w:rFonts w:hint="eastAsia" w:ascii="宋体" w:hAnsi="宋体" w:cs="宋体"/>
          <w:color w:val="auto"/>
          <w:sz w:val="24"/>
          <w:lang w:eastAsia="zh-CN"/>
        </w:rPr>
        <w:t>成交供应商</w:t>
      </w:r>
      <w:r>
        <w:rPr>
          <w:rFonts w:hint="eastAsia" w:ascii="宋体" w:hAnsi="宋体" w:cs="宋体"/>
          <w:color w:val="auto"/>
          <w:sz w:val="24"/>
        </w:rPr>
        <w:t>负责。</w:t>
      </w:r>
    </w:p>
    <w:p w14:paraId="474C222D">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注：包装应足以承受整个过程中的运输、转运、装卸、储存等，充分考虑到运输途中的各种情况</w:t>
      </w:r>
      <w:r>
        <w:rPr>
          <w:rFonts w:ascii="宋体" w:hAnsi="宋体" w:cs="宋体"/>
          <w:color w:val="auto"/>
          <w:sz w:val="24"/>
        </w:rPr>
        <w:t>(</w:t>
      </w:r>
      <w:r>
        <w:rPr>
          <w:rFonts w:hint="eastAsia" w:ascii="宋体" w:hAnsi="宋体" w:cs="宋体"/>
          <w:color w:val="auto"/>
          <w:sz w:val="24"/>
        </w:rPr>
        <w:t>如暴露于恶劣气候等</w:t>
      </w:r>
      <w:r>
        <w:rPr>
          <w:rFonts w:ascii="宋体" w:hAnsi="宋体" w:cs="宋体"/>
          <w:color w:val="auto"/>
          <w:sz w:val="24"/>
        </w:rPr>
        <w:t>)</w:t>
      </w:r>
      <w:r>
        <w:rPr>
          <w:rFonts w:hint="eastAsia" w:ascii="宋体" w:hAnsi="宋体" w:cs="宋体"/>
          <w:color w:val="auto"/>
          <w:sz w:val="24"/>
        </w:rPr>
        <w:t>和项目所在地的气候特点。</w:t>
      </w:r>
    </w:p>
    <w:p w14:paraId="23E7A5F9">
      <w:pPr>
        <w:keepNext w:val="0"/>
        <w:keepLines w:val="0"/>
        <w:pageBreakBefore w:val="0"/>
        <w:widowControl/>
        <w:kinsoku/>
        <w:wordWrap/>
        <w:overflowPunct/>
        <w:topLinePunct w:val="0"/>
        <w:autoSpaceDE/>
        <w:autoSpaceDN/>
        <w:bidi w:val="0"/>
        <w:adjustRightInd/>
        <w:snapToGrid/>
        <w:spacing w:beforeLines="0" w:afterLines="0" w:line="380" w:lineRule="exact"/>
        <w:ind w:firstLine="482" w:firstLineChars="200"/>
        <w:jc w:val="left"/>
        <w:textAlignment w:val="center"/>
        <w:rPr>
          <w:rFonts w:hint="eastAsia" w:ascii="宋体" w:hAnsi="宋体" w:cs="宋体"/>
          <w:b/>
          <w:bCs/>
          <w:color w:val="auto"/>
          <w:kern w:val="0"/>
          <w:sz w:val="24"/>
          <w:szCs w:val="22"/>
          <w:highlight w:val="none"/>
          <w:lang w:val="en-US" w:eastAsia="zh-CN"/>
        </w:rPr>
      </w:pPr>
      <w:r>
        <w:rPr>
          <w:rFonts w:hint="eastAsia" w:ascii="宋体" w:hAnsi="宋体" w:cs="宋体"/>
          <w:b/>
          <w:bCs/>
          <w:color w:val="auto"/>
          <w:kern w:val="0"/>
          <w:sz w:val="24"/>
          <w:szCs w:val="22"/>
          <w:highlight w:val="none"/>
          <w:lang w:val="en-US" w:eastAsia="zh-CN"/>
        </w:rPr>
        <w:t>10.售后维保要求：</w:t>
      </w:r>
    </w:p>
    <w:p w14:paraId="62A2E2AE">
      <w:pPr>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10.1</w:t>
      </w:r>
      <w:r>
        <w:rPr>
          <w:rFonts w:hint="eastAsia" w:ascii="宋体" w:hAnsi="宋体" w:eastAsia="宋体" w:cs="宋体"/>
          <w:color w:val="auto"/>
          <w:sz w:val="24"/>
          <w:highlight w:val="none"/>
          <w:lang w:val="en-US" w:eastAsia="zh-CN"/>
        </w:rPr>
        <w:t>货物详细要求中有特殊要求的除外，其他所有货物维保期要求均为货物经最终验收合格后12个月，在</w:t>
      </w:r>
      <w:r>
        <w:rPr>
          <w:rFonts w:hint="eastAsia" w:ascii="宋体" w:hAnsi="宋体" w:eastAsia="宋体" w:cs="宋体"/>
          <w:color w:val="auto"/>
          <w:sz w:val="24"/>
          <w:highlight w:val="none"/>
          <w:lang w:eastAsia="zh-CN"/>
        </w:rPr>
        <w:t>维保期</w:t>
      </w:r>
      <w:r>
        <w:rPr>
          <w:rFonts w:hint="eastAsia" w:ascii="宋体" w:hAnsi="宋体" w:eastAsia="宋体" w:cs="宋体"/>
          <w:color w:val="auto"/>
          <w:sz w:val="24"/>
          <w:highlight w:val="none"/>
          <w:lang w:val="en-US" w:eastAsia="zh-CN"/>
        </w:rPr>
        <w:t>内设备运行发生故障时，成交供应商在接到采购人故障通知后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小时内应委派专业技术人员到现场免费提供咨询、维修和更换零部件等服务，并及时填写维修报告(包括故障原因、处理情况及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意见等)报采购人备案，若</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小时内无法排除故障，则应先提供同档次备用货物供采购人使用。其中发生一切费用由成交供应商承担。</w:t>
      </w:r>
    </w:p>
    <w:p w14:paraId="5303D9C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10.2</w:t>
      </w:r>
      <w:r>
        <w:rPr>
          <w:rFonts w:hint="eastAsia" w:ascii="宋体" w:hAnsi="宋体" w:eastAsia="宋体" w:cs="宋体"/>
          <w:color w:val="auto"/>
          <w:sz w:val="24"/>
          <w:highlight w:val="none"/>
          <w:lang w:val="en-US" w:eastAsia="zh-CN"/>
        </w:rPr>
        <w:t>在货物详细要求中有特殊要求的除外，所有货物均要求在验收合格之日起免费维保期为一年（产品原维保期超过一年则按产品维保期为准）。维保期内</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成交供应商必须保证对所有</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lang w:val="en-US" w:eastAsia="zh-CN"/>
        </w:rPr>
        <w:t>非人为破坏而损坏的进行免费保修、包换。</w:t>
      </w:r>
    </w:p>
    <w:p w14:paraId="3DCC25C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10.3</w:t>
      </w:r>
      <w:r>
        <w:rPr>
          <w:rFonts w:hint="eastAsia" w:ascii="宋体" w:hAnsi="宋体" w:eastAsia="宋体" w:cs="宋体"/>
          <w:color w:val="auto"/>
          <w:sz w:val="24"/>
          <w:highlight w:val="none"/>
          <w:lang w:val="en-US" w:eastAsia="zh-CN"/>
        </w:rPr>
        <w:t>维保期内要求现场保修的货物在运行中发生问题，成交供应商电话响应时间不超过1小时，</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最终维修时间不得超过12小时，并及时填写维修报告（包括故障原因、处理情况及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意见等）报采购人备案，其中发生一切费用由成交供应商承担。</w:t>
      </w:r>
    </w:p>
    <w:p w14:paraId="08189F0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10.4</w:t>
      </w:r>
      <w:r>
        <w:rPr>
          <w:rFonts w:hint="eastAsia" w:ascii="宋体" w:hAnsi="宋体" w:eastAsia="宋体" w:cs="宋体"/>
          <w:color w:val="auto"/>
          <w:sz w:val="24"/>
          <w:highlight w:val="none"/>
          <w:lang w:val="en-US" w:eastAsia="zh-CN"/>
        </w:rPr>
        <w:t>验收不合格的货物，成交供应商无条件免费更换或退货，并赔偿由此造成的损失。</w:t>
      </w:r>
    </w:p>
    <w:p w14:paraId="5721A418">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10.5</w:t>
      </w:r>
      <w:r>
        <w:rPr>
          <w:rFonts w:hint="eastAsia" w:ascii="宋体" w:hAnsi="宋体" w:eastAsia="宋体" w:cs="宋体"/>
          <w:color w:val="auto"/>
          <w:sz w:val="24"/>
          <w:highlight w:val="none"/>
          <w:lang w:val="en-US" w:eastAsia="zh-CN"/>
        </w:rPr>
        <w:t>成交供应商应随货免费提供相关技术资料及赠品，如维护手册、操作手册、硬件技术资料等，</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lang w:val="en-US" w:eastAsia="zh-CN"/>
        </w:rPr>
        <w:t>应为</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的使用人员进行有关货物的维护、操作、保养等方面培训，直至能熟练独立操作。</w:t>
      </w:r>
    </w:p>
    <w:p w14:paraId="3038C1D6">
      <w:pPr>
        <w:numPr>
          <w:ilvl w:val="0"/>
          <w:numId w:val="0"/>
        </w:numPr>
        <w:spacing w:line="400" w:lineRule="exact"/>
        <w:ind w:firstLine="481" w:firstLineChars="0"/>
        <w:rPr>
          <w:rFonts w:hint="eastAsia" w:ascii="宋体" w:hAnsi="宋体" w:cs="宋体"/>
          <w:b/>
          <w:bCs/>
          <w:color w:val="auto"/>
          <w:sz w:val="24"/>
          <w:highlight w:val="none"/>
          <w:lang w:val="en-US" w:eastAsia="zh-CN"/>
        </w:rPr>
      </w:pPr>
      <w:r>
        <w:rPr>
          <w:rFonts w:hint="eastAsia" w:ascii="宋体" w:hAnsi="宋体" w:eastAsia="宋体" w:cs="宋体"/>
          <w:b/>
          <w:bCs/>
          <w:color w:val="auto"/>
          <w:kern w:val="2"/>
          <w:sz w:val="24"/>
          <w:szCs w:val="24"/>
          <w:lang w:val="en-US" w:eastAsia="zh-CN" w:bidi="ar-SA"/>
        </w:rPr>
        <w:t>11.</w:t>
      </w:r>
      <w:r>
        <w:rPr>
          <w:rFonts w:hint="eastAsia" w:ascii="宋体" w:hAnsi="宋体" w:cs="宋体"/>
          <w:b/>
          <w:bCs/>
          <w:color w:val="auto"/>
          <w:sz w:val="24"/>
          <w:highlight w:val="none"/>
          <w:lang w:val="en-US" w:eastAsia="zh-CN"/>
        </w:rPr>
        <w:t>合同有效期：</w:t>
      </w:r>
      <w:bookmarkStart w:id="8" w:name="_GoBack"/>
      <w:bookmarkEnd w:id="8"/>
    </w:p>
    <w:p w14:paraId="04FA0275">
      <w:pPr>
        <w:numPr>
          <w:ilvl w:val="0"/>
          <w:numId w:val="0"/>
        </w:numPr>
        <w:spacing w:line="400" w:lineRule="exact"/>
        <w:ind w:firstLine="481"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自合同签订之日起至验收合格后售后维保期1年结束止。</w:t>
      </w:r>
    </w:p>
    <w:p w14:paraId="22CD21C6">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12</w:t>
      </w:r>
      <w:r>
        <w:rPr>
          <w:rFonts w:hint="eastAsia" w:ascii="宋体" w:hAnsi="宋体" w:cs="宋体"/>
          <w:b/>
          <w:bCs/>
          <w:color w:val="auto"/>
          <w:kern w:val="0"/>
          <w:sz w:val="24"/>
          <w:szCs w:val="22"/>
          <w:highlight w:val="none"/>
        </w:rPr>
        <w:t>.违约责任</w:t>
      </w:r>
      <w:r>
        <w:rPr>
          <w:rFonts w:hint="eastAsia" w:ascii="宋体" w:hAnsi="宋体" w:cs="宋体"/>
          <w:b/>
          <w:bCs/>
          <w:color w:val="auto"/>
          <w:kern w:val="0"/>
          <w:sz w:val="24"/>
          <w:szCs w:val="22"/>
          <w:highlight w:val="none"/>
          <w:lang w:eastAsia="zh-CN"/>
        </w:rPr>
        <w:t>：</w:t>
      </w:r>
    </w:p>
    <w:p w14:paraId="1A329D54">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成交供应商符合验收条件的，采购人应严格按照网上竞价文件要求在双方约定的时间内进行验收，采购人无正当理由不得无故拖延验收时间。</w:t>
      </w:r>
    </w:p>
    <w:p w14:paraId="20D7483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成交供应商所提供的</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lang w:eastAsia="zh-CN"/>
        </w:rPr>
        <w:t xml:space="preserve">不符合合同要求且拒不整改的，采购人有权拒收并没收其履约保证金。 </w:t>
      </w:r>
    </w:p>
    <w:p w14:paraId="2C3813CD">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 xml:space="preserve">成交供应商未经采购人同意单方面终止合同的，采购人将没收其履约保证金。 </w:t>
      </w:r>
    </w:p>
    <w:p w14:paraId="31A58E9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因成交供应商违约对采购人造成损失的赔偿金及合同约定的违约金均可由采购人从未支付的合同款或履约保证金中扣除。</w:t>
      </w:r>
    </w:p>
    <w:p w14:paraId="02FE1C9C">
      <w:pPr>
        <w:spacing w:line="400" w:lineRule="exact"/>
        <w:ind w:firstLine="481"/>
        <w:rPr>
          <w:rFonts w:hint="eastAsia" w:ascii="宋体" w:hAnsi="宋体" w:eastAsia="宋体" w:cs="宋体"/>
          <w:color w:val="0000FF"/>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若成交供应商不能交货的(逾期15个工作日视为不能交货，因不可抗拒的因素除外)或交货不合格从而影响采购人正常使用的，成交供应商应向采购人偿付不能交货部分货款的 5％的违约金。违约金不足以补偿损失的，采购人有权要求成交供应商赔偿损失。</w:t>
      </w:r>
    </w:p>
    <w:p w14:paraId="2D371D7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成交供应商销售给采购人的货物以次充好、或不符合质量要求，采购人有权单方决定退货并责令成交供应商更换合格货物，同时成交供应商应按当批不合格商品总额的0.5倍向采购人支付违约金，违约金不足100元的按100元计算。</w:t>
      </w:r>
    </w:p>
    <w:p w14:paraId="217129C6">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成交供应商更换的货物仍以次充好、不符合质量要求的，成交供应商应按当批不符合要求的商品总额的1倍计算向采购人支付违约金，违约金不足200元的按200元计算，并计入“合同解除条件”约定中的违约1次；若成交供应商无法更换的，成交供应商应按当批不符合要求的商品总额的2倍计算向采购人支付违约金，违约金不足500元的按500元计算。</w:t>
      </w:r>
    </w:p>
    <w:p w14:paraId="0F38F322">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对销售“三无”商品、假冒伪劣商品的，成交供应商需承担销售“三无”商品、假冒伪劣商品所带来的经济、法律等一切责任，采购人有权视情节单方解除合同。</w:t>
      </w:r>
    </w:p>
    <w:p w14:paraId="1896777F">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采购人、成交供应商）双方确定供货价格后，双方应严格遵守。若成交供应商供货结算价格高于双方确定的价格，应按该商品超出部分金额10倍计算向采购人支付违约金，且结算价格高出部分予以扣除。同时，视为违约，计入“合同解除条件”约定中的违约1次。</w:t>
      </w:r>
    </w:p>
    <w:p w14:paraId="3FBCEAF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成交供应商的送货人员必须遵守国家法律及采购人关于监管安全的有关规章制度，并提供身体健康证明及无犯罪记录证明材料。成交供应商以及进入监区的运输车辆、人员（运输车辆、人员相对固定），必须遵守监狱的有关制度，不得携带危险物品；不得私自离开指定的区域；不得私自会见被监管人员；不得为被监管人员传递信件、手机、毒品、酒类、黄色书刊及图片、刀具、绳索、打火机、有价证券、信用卡、数码产品等一切物品，否则采购人一经查实，成交供应商每次支付违约金5000元至30000元给采购人（具体金额由采购人在幅度内确定），采购人有权终止合同，并不予退还履约保证金；若造成严重后果，触犯刑律的，移送有关部门依法追究法律责任。</w:t>
      </w:r>
    </w:p>
    <w:p w14:paraId="2171793E">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成交供应商违反承诺响应时间及违反承诺相关事宜，每次向采购人支付违约金500元-2000元（具体金额由采购人在幅度内确定），超过3次采购人有权单方面解除合同。</w:t>
      </w:r>
    </w:p>
    <w:p w14:paraId="5BD8E00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成交供应商应支付的违约金或赔偿金，采购人可从成交供应商货款中直接扣除，不足部分另向成交供应商追偿。</w:t>
      </w:r>
    </w:p>
    <w:p w14:paraId="7ED13A4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因采购人单位性质特殊，成交供应商应派专职人员为本项目配送，并向采购人进行报备（车辆、人员姓名、电话、身份证及健康证复印件等）。若成交供应商未经采购人允许随意更换人员或未按要求提供材料的，发现1次罚款人民币1000元，以此类推。</w:t>
      </w:r>
    </w:p>
    <w:p w14:paraId="2433930A">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因成交供应商原因造成采购合同无法按时签订，视为成交供应商违约，成交供应商违约对采购人造成的损失，需另行支付相应的赔偿，包括但不限于不予退还履约保证金等。在签订采购合同后，成交供应商要求解除合同的和成交供应商未能履行合同项下的任何其他义务的，视为成交供应商违约，成交供应商违约对采购人造成损失的，成交供应商应赔偿相应的损失。</w:t>
      </w:r>
    </w:p>
    <w:p w14:paraId="4815BD71">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13.</w:t>
      </w:r>
      <w:r>
        <w:rPr>
          <w:rFonts w:hint="eastAsia" w:ascii="宋体" w:hAnsi="宋体" w:cs="宋体"/>
          <w:b/>
          <w:bCs/>
          <w:color w:val="auto"/>
          <w:kern w:val="0"/>
          <w:sz w:val="24"/>
          <w:szCs w:val="22"/>
          <w:highlight w:val="none"/>
        </w:rPr>
        <w:t>诉讼相关费用承担</w:t>
      </w:r>
      <w:r>
        <w:rPr>
          <w:rFonts w:hint="eastAsia" w:ascii="宋体" w:hAnsi="宋体" w:cs="宋体"/>
          <w:b/>
          <w:bCs/>
          <w:color w:val="auto"/>
          <w:kern w:val="0"/>
          <w:sz w:val="24"/>
          <w:szCs w:val="22"/>
          <w:highlight w:val="none"/>
          <w:lang w:eastAsia="zh-CN"/>
        </w:rPr>
        <w:t>：</w:t>
      </w:r>
    </w:p>
    <w:p w14:paraId="78F8E877">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若因成交供应商</w:t>
      </w:r>
      <w:r>
        <w:rPr>
          <w:rFonts w:hint="eastAsia" w:ascii="宋体" w:hAnsi="宋体" w:cs="宋体"/>
          <w:color w:val="auto"/>
          <w:kern w:val="0"/>
          <w:sz w:val="24"/>
          <w:szCs w:val="22"/>
          <w:highlight w:val="none"/>
          <w:lang w:eastAsia="zh-CN"/>
        </w:rPr>
        <w:t>未</w:t>
      </w:r>
      <w:r>
        <w:rPr>
          <w:rFonts w:hint="eastAsia" w:ascii="宋体" w:hAnsi="宋体" w:cs="宋体"/>
          <w:color w:val="auto"/>
          <w:kern w:val="0"/>
          <w:sz w:val="24"/>
          <w:szCs w:val="22"/>
          <w:highlight w:val="none"/>
        </w:rPr>
        <w:t>履行合同项下义务导致采购人所产生的一切损失（包括但不限于人身财产的损失、律师费、诉讼费、保全费、鉴定费等），均由成交供应商承担赔偿责任。</w:t>
      </w:r>
    </w:p>
    <w:p w14:paraId="30C4E3A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14.</w:t>
      </w:r>
      <w:r>
        <w:rPr>
          <w:rFonts w:hint="eastAsia" w:ascii="宋体" w:hAnsi="宋体" w:cs="宋体"/>
          <w:b/>
          <w:bCs/>
          <w:color w:val="auto"/>
          <w:kern w:val="0"/>
          <w:sz w:val="24"/>
          <w:szCs w:val="22"/>
          <w:highlight w:val="none"/>
          <w:lang w:val="zh-TW"/>
        </w:rPr>
        <w:t>不可抗力</w:t>
      </w:r>
      <w:r>
        <w:rPr>
          <w:rFonts w:hint="eastAsia" w:ascii="宋体" w:hAnsi="宋体" w:cs="宋体"/>
          <w:b/>
          <w:bCs/>
          <w:color w:val="auto"/>
          <w:kern w:val="0"/>
          <w:sz w:val="24"/>
          <w:szCs w:val="22"/>
          <w:highlight w:val="none"/>
          <w:lang w:val="zh-TW" w:eastAsia="zh-CN"/>
        </w:rPr>
        <w:t>：</w:t>
      </w:r>
    </w:p>
    <w:p w14:paraId="2D69442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14.1</w:t>
      </w:r>
      <w:r>
        <w:rPr>
          <w:rFonts w:hint="eastAsia" w:ascii="宋体" w:hAnsi="宋体" w:cs="宋体"/>
          <w:color w:val="auto"/>
          <w:kern w:val="0"/>
          <w:sz w:val="24"/>
          <w:szCs w:val="22"/>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w:t>
      </w:r>
    </w:p>
    <w:p w14:paraId="77F48BBB">
      <w:pPr>
        <w:widowControl/>
        <w:spacing w:beforeLines="0" w:afterLines="0" w:line="400" w:lineRule="exact"/>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履行或不履行合同，并根据情况可部分或全部免于承担违约责任。</w:t>
      </w:r>
    </w:p>
    <w:p w14:paraId="661F40B4">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14.2</w:t>
      </w:r>
      <w:r>
        <w:rPr>
          <w:rFonts w:hint="eastAsia" w:ascii="宋体" w:hAnsi="宋体" w:cs="宋体"/>
          <w:color w:val="auto"/>
          <w:kern w:val="0"/>
          <w:sz w:val="24"/>
          <w:szCs w:val="22"/>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1F34C79A">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15.</w:t>
      </w:r>
      <w:r>
        <w:rPr>
          <w:rFonts w:hint="eastAsia" w:ascii="宋体" w:hAnsi="宋体" w:cs="宋体"/>
          <w:b/>
          <w:bCs/>
          <w:color w:val="auto"/>
          <w:kern w:val="0"/>
          <w:sz w:val="24"/>
          <w:szCs w:val="22"/>
          <w:highlight w:val="none"/>
        </w:rPr>
        <w:t>专利权及知识产权</w:t>
      </w:r>
      <w:r>
        <w:rPr>
          <w:rFonts w:hint="eastAsia" w:ascii="宋体" w:hAnsi="宋体" w:cs="宋体"/>
          <w:b/>
          <w:bCs/>
          <w:color w:val="auto"/>
          <w:kern w:val="0"/>
          <w:sz w:val="24"/>
          <w:szCs w:val="22"/>
          <w:highlight w:val="none"/>
          <w:lang w:eastAsia="zh-CN"/>
        </w:rPr>
        <w:t>：</w:t>
      </w:r>
    </w:p>
    <w:p w14:paraId="20DFC189">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须与第三方交涉并承担可能发生的责任与一切费用。如采购人因此而遭致损失的，</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应赔偿该损失。</w:t>
      </w:r>
    </w:p>
    <w:p w14:paraId="3ABB20BC">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16.</w:t>
      </w:r>
      <w:r>
        <w:rPr>
          <w:rFonts w:hint="eastAsia" w:ascii="宋体" w:hAnsi="宋体" w:cs="宋体"/>
          <w:b/>
          <w:bCs/>
          <w:color w:val="auto"/>
          <w:kern w:val="0"/>
          <w:sz w:val="24"/>
          <w:szCs w:val="22"/>
          <w:highlight w:val="none"/>
        </w:rPr>
        <w:t>保密条款</w:t>
      </w:r>
      <w:r>
        <w:rPr>
          <w:rFonts w:hint="eastAsia" w:ascii="宋体" w:hAnsi="宋体" w:cs="宋体"/>
          <w:b/>
          <w:bCs/>
          <w:color w:val="auto"/>
          <w:kern w:val="0"/>
          <w:sz w:val="24"/>
          <w:szCs w:val="22"/>
          <w:highlight w:val="none"/>
          <w:lang w:eastAsia="zh-CN"/>
        </w:rPr>
        <w:t>：</w:t>
      </w:r>
    </w:p>
    <w:p w14:paraId="0DA1E34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16.1</w:t>
      </w:r>
      <w:r>
        <w:rPr>
          <w:rFonts w:hint="eastAsia" w:ascii="宋体" w:hAnsi="宋体" w:cs="宋体"/>
          <w:color w:val="auto"/>
          <w:kern w:val="0"/>
          <w:sz w:val="24"/>
          <w:szCs w:val="22"/>
          <w:highlight w:val="none"/>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0205E3A2">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16.2</w:t>
      </w:r>
      <w:r>
        <w:rPr>
          <w:rFonts w:hint="eastAsia" w:ascii="宋体" w:hAnsi="宋体" w:cs="宋体"/>
          <w:color w:val="auto"/>
          <w:kern w:val="0"/>
          <w:sz w:val="24"/>
          <w:szCs w:val="22"/>
          <w:highlight w:val="none"/>
        </w:rPr>
        <w:t>成交供应商违反本条约定泄露采购人的涉密信息的，应承担相应的法律责任，造成采购人损失的，成交供应商应当依法承担赔偿责任。</w:t>
      </w:r>
    </w:p>
    <w:p w14:paraId="7CB473A3">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16.3</w:t>
      </w:r>
      <w:r>
        <w:rPr>
          <w:rFonts w:hint="eastAsia" w:ascii="宋体" w:hAnsi="宋体" w:cs="宋体"/>
          <w:color w:val="auto"/>
          <w:kern w:val="0"/>
          <w:sz w:val="24"/>
          <w:szCs w:val="22"/>
          <w:highlight w:val="none"/>
        </w:rPr>
        <w:t>本条款不因合同届满或解除而失效。</w:t>
      </w:r>
    </w:p>
    <w:p w14:paraId="0C9D4B1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17.</w:t>
      </w:r>
      <w:r>
        <w:rPr>
          <w:rFonts w:hint="eastAsia" w:ascii="宋体" w:hAnsi="宋体" w:cs="宋体"/>
          <w:b/>
          <w:bCs/>
          <w:color w:val="auto"/>
          <w:kern w:val="0"/>
          <w:sz w:val="24"/>
          <w:szCs w:val="22"/>
          <w:highlight w:val="none"/>
          <w:lang w:val="zh-TW"/>
        </w:rPr>
        <w:t>廉政条款</w:t>
      </w:r>
      <w:r>
        <w:rPr>
          <w:rFonts w:hint="eastAsia" w:ascii="宋体" w:hAnsi="宋体" w:cs="宋体"/>
          <w:b/>
          <w:bCs/>
          <w:color w:val="auto"/>
          <w:kern w:val="0"/>
          <w:sz w:val="24"/>
          <w:szCs w:val="22"/>
          <w:highlight w:val="none"/>
          <w:lang w:val="zh-TW" w:eastAsia="zh-CN"/>
        </w:rPr>
        <w:t>：</w:t>
      </w:r>
    </w:p>
    <w:p w14:paraId="4F0B7579">
      <w:pPr>
        <w:widowControl/>
        <w:spacing w:beforeLines="0" w:afterLines="0" w:line="400" w:lineRule="exact"/>
        <w:ind w:firstLine="480" w:firstLineChars="200"/>
        <w:jc w:val="left"/>
        <w:textAlignment w:val="center"/>
        <w:rPr>
          <w:rFonts w:hint="eastAsia" w:ascii="宋体" w:hAnsi="宋体" w:cs="宋体"/>
          <w:color w:val="auto"/>
          <w:highlight w:val="none"/>
        </w:rPr>
      </w:pP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及其工作人员还要承担相应的法律责任；采购人及其工作人员不得索要或接受</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的礼金及吃请等，如有违反廉政纪律等行为的，依据有关规定给予党纪、政纪或组织处理，情节严重的，还应承担相应的法律责任。</w:t>
      </w:r>
    </w:p>
    <w:p w14:paraId="4A63D98E">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18.</w:t>
      </w:r>
      <w:r>
        <w:rPr>
          <w:rFonts w:hint="eastAsia" w:ascii="宋体" w:hAnsi="宋体" w:cs="宋体"/>
          <w:b/>
          <w:bCs/>
          <w:color w:val="auto"/>
          <w:kern w:val="0"/>
          <w:sz w:val="24"/>
          <w:szCs w:val="22"/>
          <w:highlight w:val="none"/>
          <w:lang w:val="zh-TW"/>
        </w:rPr>
        <w:t>合同纠纷处理方式</w:t>
      </w:r>
      <w:r>
        <w:rPr>
          <w:rFonts w:hint="eastAsia" w:ascii="宋体" w:hAnsi="宋体" w:cs="宋体"/>
          <w:b/>
          <w:bCs/>
          <w:color w:val="auto"/>
          <w:kern w:val="0"/>
          <w:sz w:val="24"/>
          <w:szCs w:val="22"/>
          <w:highlight w:val="none"/>
          <w:lang w:val="zh-TW" w:eastAsia="zh-CN"/>
        </w:rPr>
        <w:t>：</w:t>
      </w:r>
    </w:p>
    <w:p w14:paraId="219AB5AD">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18.1</w:t>
      </w:r>
      <w:r>
        <w:rPr>
          <w:rFonts w:hint="eastAsia" w:ascii="宋体" w:hAnsi="宋体" w:cs="宋体"/>
          <w:color w:val="auto"/>
          <w:kern w:val="0"/>
          <w:sz w:val="24"/>
          <w:szCs w:val="22"/>
          <w:highlight w:val="none"/>
        </w:rPr>
        <w:t>采购人及成交供应商</w:t>
      </w:r>
      <w:r>
        <w:rPr>
          <w:rFonts w:hint="eastAsia" w:ascii="宋体" w:hAnsi="宋体" w:cs="宋体"/>
          <w:color w:val="auto"/>
          <w:kern w:val="0"/>
          <w:sz w:val="24"/>
          <w:szCs w:val="22"/>
          <w:highlight w:val="none"/>
          <w:lang w:val="zh-TW"/>
        </w:rPr>
        <w:t>双方必须认真履行合同条款。因本合同或与本合同有关的一切事项发生争议，由双方友好协商解决，协商不成的，任何一方均可向采购人所在地人民法院提起诉讼。</w:t>
      </w:r>
    </w:p>
    <w:p w14:paraId="3A3D484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18.2</w:t>
      </w:r>
      <w:r>
        <w:rPr>
          <w:rFonts w:hint="eastAsia" w:ascii="宋体" w:hAnsi="宋体" w:cs="宋体"/>
          <w:color w:val="auto"/>
          <w:kern w:val="0"/>
          <w:sz w:val="24"/>
          <w:szCs w:val="22"/>
          <w:highlight w:val="none"/>
          <w:lang w:val="zh-TW"/>
        </w:rPr>
        <w:t>合同补充和修改：本合同生效后，双方对合同内容的变更或补充应采取书面形式，并经双方签字并盖章确认。</w:t>
      </w:r>
    </w:p>
    <w:p w14:paraId="06D1692C">
      <w:pPr>
        <w:pStyle w:val="34"/>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4"/>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6B5D47D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rPr>
        <w:t>竞价人选定的技术性能必须符合或优于竞价文件的技术性能要求。</w:t>
      </w:r>
    </w:p>
    <w:p w14:paraId="33CE6E14">
      <w:pPr>
        <w:spacing w:beforeLines="0" w:afterLines="0"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本项目不允许</w:t>
      </w:r>
      <w:r>
        <w:rPr>
          <w:rFonts w:hint="eastAsia" w:ascii="宋体" w:hAnsi="宋体" w:eastAsia="宋体" w:cs="宋体"/>
          <w:sz w:val="24"/>
          <w:szCs w:val="24"/>
          <w:lang w:eastAsia="zh-CN"/>
        </w:rPr>
        <w:t>成交供应商</w:t>
      </w:r>
      <w:r>
        <w:rPr>
          <w:rFonts w:hint="eastAsia" w:ascii="宋体" w:hAnsi="宋体" w:eastAsia="宋体" w:cs="宋体"/>
          <w:sz w:val="24"/>
          <w:szCs w:val="24"/>
        </w:rPr>
        <w:t>以任何名义和理由进行转包，如有发现，</w:t>
      </w:r>
      <w:r>
        <w:rPr>
          <w:rFonts w:hint="eastAsia" w:ascii="宋体" w:hAnsi="宋体" w:eastAsia="宋体" w:cs="宋体"/>
          <w:sz w:val="24"/>
          <w:szCs w:val="24"/>
          <w:lang w:eastAsia="zh-CN"/>
        </w:rPr>
        <w:t>采购人</w:t>
      </w:r>
      <w:r>
        <w:rPr>
          <w:rFonts w:hint="eastAsia" w:ascii="宋体" w:hAnsi="宋体" w:eastAsia="宋体" w:cs="宋体"/>
          <w:sz w:val="24"/>
          <w:szCs w:val="24"/>
        </w:rPr>
        <w:t>有权单方终止合同，视为</w:t>
      </w:r>
      <w:r>
        <w:rPr>
          <w:rFonts w:hint="eastAsia" w:ascii="宋体" w:hAnsi="宋体" w:eastAsia="宋体" w:cs="宋体"/>
          <w:sz w:val="24"/>
          <w:szCs w:val="24"/>
          <w:lang w:eastAsia="zh-CN"/>
        </w:rPr>
        <w:t>成交供应商</w:t>
      </w:r>
      <w:r>
        <w:rPr>
          <w:rFonts w:hint="eastAsia" w:ascii="宋体" w:hAnsi="宋体" w:eastAsia="宋体" w:cs="宋体"/>
          <w:sz w:val="24"/>
          <w:szCs w:val="24"/>
        </w:rPr>
        <w:t>违约，没收投标保证金。如投标保证金不能弥补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违约对</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还需另行支付相应的赔偿。</w:t>
      </w:r>
    </w:p>
    <w:p w14:paraId="4F4E1EEA">
      <w:pPr>
        <w:tabs>
          <w:tab w:val="left" w:pos="-105"/>
          <w:tab w:val="left" w:pos="1050"/>
        </w:tabs>
        <w:spacing w:beforeLines="0" w:afterLines="0" w:line="400" w:lineRule="exact"/>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w:t>
      </w:r>
      <w:r>
        <w:rPr>
          <w:rFonts w:hint="eastAsia" w:ascii="宋体" w:hAnsi="宋体" w:eastAsia="宋体" w:cs="宋体"/>
          <w:sz w:val="24"/>
          <w:szCs w:val="24"/>
          <w:lang w:eastAsia="zh-CN"/>
        </w:rPr>
        <w:t>网上竞价文件</w:t>
      </w:r>
      <w:r>
        <w:rPr>
          <w:rFonts w:hint="eastAsia" w:ascii="宋体" w:hAnsi="宋体" w:eastAsia="宋体" w:cs="宋体"/>
          <w:sz w:val="24"/>
          <w:szCs w:val="24"/>
        </w:rPr>
        <w:t>未明确的其它约定事项或条款，待</w:t>
      </w:r>
      <w:r>
        <w:rPr>
          <w:rFonts w:hint="eastAsia" w:ascii="宋体" w:hAnsi="宋体" w:eastAsia="宋体" w:cs="宋体"/>
          <w:sz w:val="24"/>
          <w:szCs w:val="24"/>
          <w:lang w:eastAsia="zh-CN"/>
        </w:rPr>
        <w:t>采购人</w:t>
      </w:r>
      <w:r>
        <w:rPr>
          <w:rFonts w:hint="eastAsia" w:ascii="宋体" w:hAnsi="宋体" w:eastAsia="宋体" w:cs="宋体"/>
          <w:sz w:val="24"/>
          <w:szCs w:val="24"/>
        </w:rPr>
        <w:t>与</w:t>
      </w:r>
      <w:r>
        <w:rPr>
          <w:rFonts w:hint="eastAsia" w:ascii="宋体" w:hAnsi="宋体" w:eastAsia="宋体" w:cs="宋体"/>
          <w:sz w:val="24"/>
          <w:szCs w:val="24"/>
          <w:lang w:eastAsia="zh-CN"/>
        </w:rPr>
        <w:t>成交供应商</w:t>
      </w:r>
      <w:r>
        <w:rPr>
          <w:rFonts w:hint="eastAsia" w:ascii="宋体" w:hAnsi="宋体" w:eastAsia="宋体" w:cs="宋体"/>
          <w:sz w:val="24"/>
          <w:szCs w:val="24"/>
        </w:rPr>
        <w:t>签订合同时，由双方协商订立。</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7"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7"/>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3"/>
        <w:spacing w:line="360" w:lineRule="auto"/>
        <w:rPr>
          <w:color w:val="auto"/>
          <w:highlight w:val="none"/>
        </w:rPr>
      </w:pPr>
    </w:p>
    <w:p w14:paraId="6B6D922C">
      <w:pPr>
        <w:spacing w:line="360" w:lineRule="auto"/>
        <w:rPr>
          <w:color w:val="auto"/>
          <w:highlight w:val="none"/>
        </w:rPr>
      </w:pPr>
    </w:p>
    <w:p w14:paraId="78747FAC">
      <w:pPr>
        <w:pStyle w:val="3"/>
        <w:spacing w:line="360" w:lineRule="auto"/>
        <w:rPr>
          <w:color w:val="auto"/>
          <w:highlight w:val="none"/>
        </w:rPr>
      </w:pPr>
    </w:p>
    <w:p w14:paraId="5F979E43">
      <w:pPr>
        <w:spacing w:line="360" w:lineRule="auto"/>
        <w:rPr>
          <w:color w:val="auto"/>
          <w:highlight w:val="none"/>
        </w:rPr>
      </w:pPr>
    </w:p>
    <w:p w14:paraId="04AA60E8">
      <w:pPr>
        <w:pStyle w:val="4"/>
        <w:spacing w:line="360" w:lineRule="auto"/>
        <w:rPr>
          <w:rFonts w:hint="default"/>
          <w:color w:val="auto"/>
          <w:highlight w:val="none"/>
        </w:rPr>
      </w:pPr>
    </w:p>
    <w:p w14:paraId="6103A527">
      <w:pPr>
        <w:spacing w:line="360" w:lineRule="auto"/>
        <w:rPr>
          <w:color w:val="auto"/>
          <w:highlight w:val="none"/>
        </w:rPr>
      </w:pPr>
    </w:p>
    <w:p w14:paraId="3F162C22">
      <w:pPr>
        <w:pStyle w:val="4"/>
        <w:spacing w:line="360" w:lineRule="auto"/>
        <w:rPr>
          <w:rFonts w:hint="default"/>
          <w:color w:val="auto"/>
          <w:highlight w:val="none"/>
        </w:rPr>
      </w:pPr>
    </w:p>
    <w:p w14:paraId="7249FB9E">
      <w:pPr>
        <w:spacing w:line="360" w:lineRule="auto"/>
        <w:rPr>
          <w:color w:val="auto"/>
          <w:highlight w:val="none"/>
        </w:rPr>
      </w:pPr>
    </w:p>
    <w:p w14:paraId="70E3D390">
      <w:pPr>
        <w:pStyle w:val="4"/>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20"/>
        <w:spacing w:line="360" w:lineRule="auto"/>
        <w:ind w:firstLine="210"/>
        <w:rPr>
          <w:color w:val="auto"/>
          <w:highlight w:val="none"/>
        </w:rPr>
      </w:pPr>
    </w:p>
    <w:p w14:paraId="2627AB42">
      <w:pPr>
        <w:pStyle w:val="5"/>
        <w:spacing w:line="360" w:lineRule="auto"/>
        <w:rPr>
          <w:color w:val="auto"/>
          <w:highlight w:val="none"/>
        </w:rPr>
      </w:pPr>
    </w:p>
    <w:p w14:paraId="430A8697">
      <w:pPr>
        <w:pStyle w:val="6"/>
        <w:spacing w:line="360" w:lineRule="auto"/>
        <w:rPr>
          <w:color w:val="auto"/>
          <w:highlight w:val="none"/>
        </w:rPr>
      </w:pPr>
    </w:p>
    <w:p w14:paraId="449322DE">
      <w:pPr>
        <w:pStyle w:val="5"/>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11ECBD17">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54C2E6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3"/>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25CBF99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526343EF">
      <w:pPr>
        <w:spacing w:line="360" w:lineRule="auto"/>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八、我公司承诺未被列入景弘集团有限公司黑名单。</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2D95645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3B20F2DB">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7"/>
        <w:spacing w:before="0" w:beforeAutospacing="0" w:after="0" w:afterAutospacing="0" w:line="360" w:lineRule="auto"/>
        <w:rPr>
          <w:color w:val="auto"/>
          <w:highlight w:val="none"/>
        </w:rPr>
      </w:pPr>
      <w:r>
        <w:rPr>
          <w:rFonts w:hint="eastAsia"/>
          <w:color w:val="auto"/>
          <w:highlight w:val="none"/>
        </w:rPr>
        <w:t> </w:t>
      </w:r>
    </w:p>
    <w:p w14:paraId="00906B03">
      <w:pPr>
        <w:pStyle w:val="17"/>
        <w:spacing w:before="0" w:beforeAutospacing="0" w:after="0" w:afterAutospacing="0" w:line="360" w:lineRule="auto"/>
        <w:rPr>
          <w:color w:val="auto"/>
          <w:highlight w:val="none"/>
        </w:rPr>
      </w:pPr>
      <w:r>
        <w:rPr>
          <w:rFonts w:hint="eastAsia"/>
          <w:color w:val="auto"/>
          <w:highlight w:val="none"/>
        </w:rPr>
        <w:t>授权方</w:t>
      </w:r>
    </w:p>
    <w:p w14:paraId="77A28E77">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7"/>
        <w:spacing w:before="0" w:beforeAutospacing="0" w:after="0" w:afterAutospacing="0" w:line="360" w:lineRule="auto"/>
        <w:rPr>
          <w:color w:val="auto"/>
          <w:highlight w:val="none"/>
        </w:rPr>
      </w:pPr>
      <w:r>
        <w:rPr>
          <w:rFonts w:hint="eastAsia"/>
          <w:color w:val="auto"/>
          <w:highlight w:val="none"/>
        </w:rPr>
        <w:t> </w:t>
      </w:r>
    </w:p>
    <w:p w14:paraId="50005F1C">
      <w:pPr>
        <w:pStyle w:val="17"/>
        <w:spacing w:before="0" w:beforeAutospacing="0" w:after="0" w:afterAutospacing="0" w:line="360" w:lineRule="auto"/>
        <w:rPr>
          <w:color w:val="auto"/>
          <w:highlight w:val="none"/>
        </w:rPr>
      </w:pPr>
      <w:r>
        <w:rPr>
          <w:rFonts w:hint="eastAsia"/>
          <w:color w:val="auto"/>
          <w:highlight w:val="none"/>
        </w:rPr>
        <w:t>接受授权方</w:t>
      </w:r>
    </w:p>
    <w:p w14:paraId="3E13C44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7"/>
              <w:spacing w:before="0" w:beforeAutospacing="0" w:after="0" w:afterAutospacing="0" w:line="360" w:lineRule="auto"/>
              <w:jc w:val="center"/>
              <w:rPr>
                <w:color w:val="auto"/>
                <w:highlight w:val="none"/>
              </w:rPr>
            </w:pPr>
            <w:r>
              <w:rPr>
                <w:rStyle w:val="25"/>
                <w:rFonts w:hint="eastAsia"/>
                <w:color w:val="auto"/>
                <w:highlight w:val="none"/>
              </w:rPr>
              <w:t> </w:t>
            </w:r>
          </w:p>
          <w:p w14:paraId="0D2CFBE9">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w:t>
            </w:r>
          </w:p>
          <w:p w14:paraId="5174E8F6">
            <w:pPr>
              <w:pStyle w:val="17"/>
              <w:spacing w:before="0" w:beforeAutospacing="0" w:after="0" w:afterAutospacing="0" w:line="360" w:lineRule="auto"/>
              <w:jc w:val="center"/>
              <w:rPr>
                <w:color w:val="auto"/>
                <w:highlight w:val="none"/>
              </w:rPr>
            </w:pPr>
            <w:r>
              <w:rPr>
                <w:rStyle w:val="25"/>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710CB52">
      <w:pPr>
        <w:spacing w:line="360" w:lineRule="auto"/>
        <w:jc w:val="center"/>
        <w:outlineLvl w:val="2"/>
        <w:rPr>
          <w:rFonts w:hint="eastAsia" w:ascii="宋体" w:hAnsi="宋体"/>
          <w:b/>
          <w:color w:val="auto"/>
          <w:sz w:val="32"/>
          <w:szCs w:val="22"/>
          <w:highlight w:val="none"/>
          <w:lang w:val="en-US" w:eastAsia="zh-CN"/>
        </w:rPr>
      </w:pPr>
    </w:p>
    <w:p w14:paraId="5BA51F20">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55" w:type="dxa"/>
            <w:vAlign w:val="center"/>
          </w:tcPr>
          <w:p w14:paraId="08523359">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bCs/>
          <w:color w:val="auto"/>
          <w:sz w:val="24"/>
          <w:szCs w:val="24"/>
        </w:rPr>
        <w:t>.2货物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7"/>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7"/>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7"/>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7"/>
              <w:wordWrap w:val="0"/>
              <w:spacing w:before="0" w:beforeAutospacing="0" w:after="0" w:afterAutospacing="0" w:line="360" w:lineRule="auto"/>
              <w:jc w:val="center"/>
              <w:rPr>
                <w:color w:val="auto"/>
                <w:highlight w:val="none"/>
              </w:rPr>
            </w:pPr>
          </w:p>
        </w:tc>
      </w:tr>
    </w:tbl>
    <w:p w14:paraId="1B798693">
      <w:pPr>
        <w:pStyle w:val="17"/>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6"/>
        <w:spacing w:line="360" w:lineRule="auto"/>
        <w:ind w:left="0" w:leftChars="0"/>
        <w:rPr>
          <w:rFonts w:ascii="宋体" w:hAnsi="宋体" w:cs="宋体"/>
          <w:color w:val="auto"/>
          <w:sz w:val="24"/>
          <w:highlight w:val="none"/>
        </w:rPr>
      </w:pPr>
    </w:p>
    <w:p w14:paraId="44956B20">
      <w:pPr>
        <w:pStyle w:val="7"/>
        <w:spacing w:line="360" w:lineRule="auto"/>
        <w:rPr>
          <w:rFonts w:ascii="宋体" w:hAnsi="宋体" w:cs="宋体"/>
          <w:color w:val="auto"/>
          <w:sz w:val="24"/>
          <w:highlight w:val="none"/>
        </w:rPr>
      </w:pPr>
    </w:p>
    <w:p w14:paraId="67186DE4">
      <w:pPr>
        <w:pStyle w:val="7"/>
        <w:spacing w:line="360" w:lineRule="auto"/>
        <w:rPr>
          <w:rFonts w:ascii="宋体" w:hAnsi="宋体" w:cs="宋体"/>
          <w:color w:val="auto"/>
          <w:sz w:val="24"/>
          <w:highlight w:val="none"/>
        </w:rPr>
      </w:pPr>
    </w:p>
    <w:p w14:paraId="091C8683">
      <w:pPr>
        <w:pStyle w:val="7"/>
        <w:spacing w:line="360" w:lineRule="auto"/>
        <w:rPr>
          <w:rFonts w:ascii="宋体" w:hAnsi="宋体" w:cs="宋体"/>
          <w:color w:val="auto"/>
          <w:sz w:val="24"/>
          <w:highlight w:val="none"/>
        </w:rPr>
      </w:pPr>
    </w:p>
    <w:p w14:paraId="27FCD5B3">
      <w:pPr>
        <w:pStyle w:val="7"/>
        <w:spacing w:line="360" w:lineRule="auto"/>
        <w:rPr>
          <w:rFonts w:ascii="宋体" w:hAnsi="宋体" w:cs="宋体"/>
          <w:color w:val="auto"/>
          <w:sz w:val="24"/>
          <w:highlight w:val="none"/>
        </w:rPr>
      </w:pPr>
    </w:p>
    <w:p w14:paraId="652F6A4B">
      <w:pPr>
        <w:pStyle w:val="7"/>
        <w:spacing w:line="360" w:lineRule="auto"/>
        <w:rPr>
          <w:rFonts w:ascii="宋体" w:hAnsi="宋体" w:cs="宋体"/>
          <w:color w:val="auto"/>
          <w:sz w:val="24"/>
          <w:highlight w:val="none"/>
        </w:rPr>
      </w:pPr>
    </w:p>
    <w:p w14:paraId="36CB1EF4">
      <w:pPr>
        <w:pStyle w:val="7"/>
        <w:spacing w:line="360" w:lineRule="auto"/>
        <w:rPr>
          <w:rFonts w:ascii="宋体" w:hAnsi="宋体" w:cs="宋体"/>
          <w:color w:val="auto"/>
          <w:sz w:val="24"/>
          <w:highlight w:val="none"/>
        </w:rPr>
      </w:pPr>
    </w:p>
    <w:p w14:paraId="0416F9B2">
      <w:pPr>
        <w:pStyle w:val="7"/>
        <w:spacing w:line="360" w:lineRule="auto"/>
        <w:rPr>
          <w:rFonts w:ascii="宋体" w:hAnsi="宋体" w:cs="宋体"/>
          <w:color w:val="auto"/>
          <w:sz w:val="24"/>
          <w:highlight w:val="none"/>
        </w:rPr>
      </w:pPr>
    </w:p>
    <w:p w14:paraId="6B94C5C1">
      <w:pPr>
        <w:pStyle w:val="7"/>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6"/>
        <w:spacing w:line="360" w:lineRule="auto"/>
        <w:ind w:left="0" w:leftChars="0"/>
        <w:rPr>
          <w:rFonts w:ascii="宋体" w:hAnsi="宋体" w:cs="宋体"/>
          <w:b/>
          <w:bCs/>
          <w:color w:val="auto"/>
          <w:sz w:val="28"/>
          <w:szCs w:val="28"/>
          <w:highlight w:val="none"/>
        </w:rPr>
      </w:pPr>
    </w:p>
    <w:p w14:paraId="2B80864C">
      <w:pPr>
        <w:pStyle w:val="7"/>
        <w:spacing w:line="360" w:lineRule="auto"/>
        <w:rPr>
          <w:rFonts w:ascii="宋体" w:hAnsi="宋体" w:cs="宋体"/>
          <w:b/>
          <w:bCs/>
          <w:color w:val="auto"/>
          <w:sz w:val="28"/>
          <w:szCs w:val="28"/>
          <w:highlight w:val="none"/>
        </w:rPr>
      </w:pPr>
    </w:p>
    <w:p w14:paraId="26DE635D">
      <w:pPr>
        <w:pStyle w:val="7"/>
        <w:spacing w:line="360" w:lineRule="auto"/>
        <w:rPr>
          <w:rFonts w:ascii="宋体" w:hAnsi="宋体" w:cs="宋体"/>
          <w:b/>
          <w:bCs/>
          <w:color w:val="auto"/>
          <w:sz w:val="28"/>
          <w:szCs w:val="28"/>
          <w:highlight w:val="none"/>
        </w:rPr>
      </w:pPr>
    </w:p>
    <w:p w14:paraId="6DFD09EF">
      <w:pPr>
        <w:pStyle w:val="6"/>
        <w:spacing w:line="360" w:lineRule="auto"/>
        <w:ind w:left="0" w:leftChars="0"/>
        <w:rPr>
          <w:rFonts w:ascii="宋体" w:hAnsi="宋体" w:cs="宋体"/>
          <w:b/>
          <w:bCs/>
          <w:color w:val="auto"/>
          <w:sz w:val="28"/>
          <w:szCs w:val="28"/>
          <w:highlight w:val="none"/>
        </w:rPr>
      </w:pPr>
    </w:p>
    <w:p w14:paraId="27D0032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7"/>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417749">
      <w:pPr>
        <w:pStyle w:val="7"/>
        <w:spacing w:line="360" w:lineRule="auto"/>
        <w:rPr>
          <w:rFonts w:ascii="宋体" w:hAnsi="宋体" w:cs="宋体"/>
          <w:b/>
          <w:bCs/>
          <w:color w:val="auto"/>
          <w:sz w:val="28"/>
          <w:szCs w:val="28"/>
          <w:highlight w:val="none"/>
        </w:rPr>
      </w:pPr>
    </w:p>
    <w:p w14:paraId="046D1D21">
      <w:pPr>
        <w:pStyle w:val="6"/>
        <w:spacing w:line="360" w:lineRule="auto"/>
        <w:ind w:left="0" w:leftChars="0"/>
        <w:jc w:val="center"/>
        <w:rPr>
          <w:rFonts w:ascii="宋体" w:hAnsi="宋体" w:cs="宋体"/>
          <w:b/>
          <w:bCs/>
          <w:color w:val="auto"/>
          <w:sz w:val="28"/>
          <w:szCs w:val="28"/>
          <w:highlight w:val="none"/>
        </w:rPr>
      </w:pPr>
    </w:p>
    <w:p w14:paraId="0ADECD2E">
      <w:pPr>
        <w:pStyle w:val="6"/>
        <w:spacing w:line="360" w:lineRule="auto"/>
        <w:ind w:left="0" w:leftChars="0"/>
        <w:jc w:val="center"/>
        <w:rPr>
          <w:rFonts w:ascii="宋体" w:hAnsi="宋体" w:cs="宋体"/>
          <w:b/>
          <w:bCs/>
          <w:color w:val="auto"/>
          <w:sz w:val="28"/>
          <w:szCs w:val="28"/>
          <w:highlight w:val="none"/>
        </w:rPr>
      </w:pPr>
    </w:p>
    <w:p w14:paraId="56AFD89D">
      <w:pPr>
        <w:pStyle w:val="6"/>
        <w:spacing w:line="360" w:lineRule="auto"/>
        <w:ind w:left="0" w:leftChars="0"/>
        <w:jc w:val="center"/>
        <w:rPr>
          <w:rFonts w:ascii="宋体" w:hAnsi="宋体" w:cs="宋体"/>
          <w:b/>
          <w:bCs/>
          <w:color w:val="auto"/>
          <w:sz w:val="28"/>
          <w:szCs w:val="28"/>
          <w:highlight w:val="none"/>
        </w:rPr>
      </w:pPr>
    </w:p>
    <w:p w14:paraId="174BC7DA">
      <w:pPr>
        <w:pStyle w:val="6"/>
        <w:spacing w:line="360" w:lineRule="auto"/>
        <w:ind w:left="0" w:leftChars="0"/>
        <w:jc w:val="center"/>
        <w:rPr>
          <w:rFonts w:ascii="宋体" w:hAnsi="宋体" w:cs="宋体"/>
          <w:b/>
          <w:bCs/>
          <w:color w:val="auto"/>
          <w:sz w:val="28"/>
          <w:szCs w:val="28"/>
          <w:highlight w:val="none"/>
        </w:rPr>
      </w:pPr>
    </w:p>
    <w:p w14:paraId="1AA13053">
      <w:pPr>
        <w:pStyle w:val="6"/>
        <w:spacing w:line="360" w:lineRule="auto"/>
        <w:ind w:left="0" w:leftChars="0"/>
        <w:jc w:val="center"/>
        <w:rPr>
          <w:rFonts w:ascii="宋体" w:hAnsi="宋体" w:cs="宋体"/>
          <w:b/>
          <w:bCs/>
          <w:color w:val="auto"/>
          <w:sz w:val="28"/>
          <w:szCs w:val="28"/>
          <w:highlight w:val="none"/>
        </w:rPr>
      </w:pPr>
    </w:p>
    <w:p w14:paraId="191D23D1">
      <w:pPr>
        <w:pStyle w:val="6"/>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6"/>
        <w:spacing w:line="360" w:lineRule="auto"/>
        <w:ind w:left="0" w:leftChars="0"/>
        <w:jc w:val="center"/>
        <w:rPr>
          <w:rFonts w:ascii="宋体" w:hAnsi="宋体" w:cs="宋体"/>
          <w:b/>
          <w:bCs/>
          <w:color w:val="auto"/>
          <w:sz w:val="28"/>
          <w:szCs w:val="28"/>
          <w:highlight w:val="none"/>
        </w:rPr>
      </w:pPr>
    </w:p>
    <w:p w14:paraId="2E4A5CAA">
      <w:pPr>
        <w:pStyle w:val="6"/>
        <w:spacing w:line="360" w:lineRule="auto"/>
        <w:ind w:left="0" w:leftChars="0"/>
        <w:jc w:val="center"/>
        <w:rPr>
          <w:rFonts w:ascii="宋体" w:hAnsi="宋体" w:cs="宋体"/>
          <w:b/>
          <w:bCs/>
          <w:color w:val="auto"/>
          <w:sz w:val="28"/>
          <w:szCs w:val="28"/>
          <w:highlight w:val="none"/>
        </w:rPr>
      </w:pPr>
    </w:p>
    <w:p w14:paraId="62157C2B">
      <w:pPr>
        <w:pStyle w:val="6"/>
        <w:spacing w:line="360" w:lineRule="auto"/>
        <w:ind w:left="0" w:leftChars="0"/>
        <w:jc w:val="center"/>
        <w:rPr>
          <w:rFonts w:ascii="宋体" w:hAnsi="宋体" w:cs="宋体"/>
          <w:b/>
          <w:bCs/>
          <w:color w:val="auto"/>
          <w:sz w:val="28"/>
          <w:szCs w:val="28"/>
          <w:highlight w:val="none"/>
        </w:rPr>
      </w:pPr>
    </w:p>
    <w:p w14:paraId="06BC889D">
      <w:pPr>
        <w:pStyle w:val="6"/>
        <w:spacing w:line="360" w:lineRule="auto"/>
        <w:ind w:left="0" w:leftChars="0"/>
        <w:jc w:val="center"/>
        <w:rPr>
          <w:rFonts w:ascii="宋体" w:hAnsi="宋体" w:cs="宋体"/>
          <w:b/>
          <w:bCs/>
          <w:color w:val="auto"/>
          <w:sz w:val="28"/>
          <w:szCs w:val="28"/>
          <w:highlight w:val="none"/>
        </w:rPr>
      </w:pPr>
    </w:p>
    <w:p w14:paraId="29E50089">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7"/>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7"/>
        <w:spacing w:line="360" w:lineRule="auto"/>
        <w:rPr>
          <w:rFonts w:ascii="宋体" w:hAnsi="宋体" w:cs="宋体"/>
          <w:b/>
          <w:bCs/>
          <w:color w:val="auto"/>
          <w:sz w:val="28"/>
          <w:szCs w:val="28"/>
          <w:highlight w:val="none"/>
        </w:rPr>
      </w:pPr>
    </w:p>
    <w:p w14:paraId="2726F7FC">
      <w:pPr>
        <w:pStyle w:val="7"/>
        <w:spacing w:line="360" w:lineRule="auto"/>
        <w:rPr>
          <w:color w:val="auto"/>
          <w:highlight w:val="none"/>
        </w:rPr>
      </w:pPr>
    </w:p>
    <w:p w14:paraId="299A24A4">
      <w:pPr>
        <w:pStyle w:val="7"/>
        <w:spacing w:line="360" w:lineRule="auto"/>
        <w:rPr>
          <w:color w:val="auto"/>
          <w:highlight w:val="none"/>
        </w:rPr>
      </w:pPr>
    </w:p>
    <w:p w14:paraId="006A08BF">
      <w:pPr>
        <w:pStyle w:val="7"/>
        <w:spacing w:line="360" w:lineRule="auto"/>
        <w:rPr>
          <w:color w:val="auto"/>
          <w:highlight w:val="none"/>
        </w:rPr>
      </w:pPr>
    </w:p>
    <w:p w14:paraId="7BDC8D0E">
      <w:pPr>
        <w:pStyle w:val="7"/>
        <w:spacing w:line="360" w:lineRule="auto"/>
        <w:rPr>
          <w:color w:val="auto"/>
          <w:highlight w:val="none"/>
        </w:rPr>
      </w:pPr>
    </w:p>
    <w:p w14:paraId="71EB76A0">
      <w:pPr>
        <w:pStyle w:val="7"/>
        <w:spacing w:line="360" w:lineRule="auto"/>
        <w:rPr>
          <w:color w:val="auto"/>
          <w:highlight w:val="none"/>
        </w:rPr>
      </w:pPr>
    </w:p>
    <w:p w14:paraId="47A5E5FD">
      <w:pPr>
        <w:pStyle w:val="7"/>
        <w:spacing w:line="360" w:lineRule="auto"/>
        <w:rPr>
          <w:color w:val="auto"/>
          <w:highlight w:val="none"/>
        </w:rPr>
      </w:pPr>
    </w:p>
    <w:p w14:paraId="3817B738">
      <w:pPr>
        <w:pStyle w:val="7"/>
        <w:spacing w:line="360" w:lineRule="auto"/>
        <w:rPr>
          <w:color w:val="auto"/>
          <w:highlight w:val="none"/>
        </w:rPr>
      </w:pPr>
    </w:p>
    <w:p w14:paraId="678B28CE">
      <w:pPr>
        <w:pStyle w:val="7"/>
        <w:spacing w:line="360" w:lineRule="auto"/>
        <w:rPr>
          <w:color w:val="auto"/>
          <w:highlight w:val="none"/>
        </w:rPr>
      </w:pPr>
    </w:p>
    <w:p w14:paraId="385B7979">
      <w:pPr>
        <w:pStyle w:val="7"/>
        <w:spacing w:line="360" w:lineRule="auto"/>
        <w:rPr>
          <w:color w:val="auto"/>
          <w:highlight w:val="none"/>
        </w:rPr>
      </w:pPr>
    </w:p>
    <w:p w14:paraId="3A13FC38">
      <w:pPr>
        <w:pStyle w:val="7"/>
        <w:spacing w:line="360" w:lineRule="auto"/>
        <w:rPr>
          <w:color w:val="auto"/>
          <w:highlight w:val="none"/>
        </w:rPr>
      </w:pPr>
    </w:p>
    <w:p w14:paraId="30AA22CA">
      <w:pPr>
        <w:pStyle w:val="7"/>
        <w:spacing w:line="360" w:lineRule="auto"/>
        <w:rPr>
          <w:color w:val="auto"/>
          <w:highlight w:val="none"/>
        </w:rPr>
      </w:pPr>
    </w:p>
    <w:p w14:paraId="32CF6972">
      <w:pPr>
        <w:pStyle w:val="7"/>
        <w:spacing w:line="360" w:lineRule="auto"/>
        <w:rPr>
          <w:color w:val="auto"/>
          <w:highlight w:val="none"/>
        </w:rPr>
      </w:pPr>
    </w:p>
    <w:p w14:paraId="0D914D8B">
      <w:pPr>
        <w:pStyle w:val="7"/>
        <w:spacing w:line="360" w:lineRule="auto"/>
        <w:rPr>
          <w:color w:val="auto"/>
          <w:highlight w:val="none"/>
        </w:rPr>
      </w:pPr>
    </w:p>
    <w:p w14:paraId="6B750D1D">
      <w:pPr>
        <w:pStyle w:val="7"/>
        <w:spacing w:line="360" w:lineRule="auto"/>
        <w:rPr>
          <w:color w:val="auto"/>
          <w:highlight w:val="none"/>
        </w:rPr>
      </w:pPr>
    </w:p>
    <w:p w14:paraId="260105E4">
      <w:pPr>
        <w:pStyle w:val="7"/>
        <w:spacing w:line="360" w:lineRule="auto"/>
        <w:rPr>
          <w:color w:val="auto"/>
          <w:highlight w:val="none"/>
        </w:rPr>
      </w:pPr>
    </w:p>
    <w:p w14:paraId="1D548FF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5"/>
        <w:spacing w:line="360" w:lineRule="auto"/>
        <w:rPr>
          <w:rFonts w:ascii="楷体_GB2312" w:eastAsia="楷体_GB2312"/>
          <w:b/>
          <w:color w:val="auto"/>
          <w:sz w:val="40"/>
          <w:szCs w:val="40"/>
          <w:highlight w:val="none"/>
        </w:rPr>
      </w:pPr>
    </w:p>
    <w:p w14:paraId="41FFAC4B">
      <w:pPr>
        <w:pStyle w:val="6"/>
        <w:spacing w:line="360" w:lineRule="auto"/>
        <w:rPr>
          <w:rFonts w:ascii="楷体_GB2312" w:eastAsia="楷体_GB2312"/>
          <w:b/>
          <w:color w:val="auto"/>
          <w:sz w:val="40"/>
          <w:szCs w:val="40"/>
          <w:highlight w:val="none"/>
        </w:rPr>
      </w:pPr>
    </w:p>
    <w:p w14:paraId="7FBF6741">
      <w:pPr>
        <w:pStyle w:val="5"/>
        <w:spacing w:line="360" w:lineRule="auto"/>
        <w:rPr>
          <w:rFonts w:ascii="楷体_GB2312" w:eastAsia="楷体_GB2312"/>
          <w:b/>
          <w:color w:val="auto"/>
          <w:sz w:val="40"/>
          <w:szCs w:val="40"/>
          <w:highlight w:val="none"/>
        </w:rPr>
      </w:pPr>
    </w:p>
    <w:p w14:paraId="19E81803">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7"/>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6"/>
        <w:spacing w:line="360" w:lineRule="auto"/>
        <w:rPr>
          <w:rFonts w:ascii="楷体_GB2312" w:eastAsia="楷体_GB2312"/>
          <w:b/>
          <w:color w:val="auto"/>
          <w:sz w:val="44"/>
          <w:szCs w:val="44"/>
          <w:highlight w:val="none"/>
        </w:rPr>
      </w:pPr>
    </w:p>
    <w:p w14:paraId="66718FB8">
      <w:pPr>
        <w:pStyle w:val="5"/>
        <w:spacing w:line="360" w:lineRule="auto"/>
        <w:rPr>
          <w:rFonts w:ascii="楷体_GB2312" w:eastAsia="楷体_GB2312"/>
          <w:b/>
          <w:color w:val="auto"/>
          <w:sz w:val="44"/>
          <w:szCs w:val="44"/>
          <w:highlight w:val="none"/>
        </w:rPr>
      </w:pPr>
    </w:p>
    <w:p w14:paraId="5FBC7D1C">
      <w:pPr>
        <w:pStyle w:val="6"/>
        <w:spacing w:line="360" w:lineRule="auto"/>
        <w:rPr>
          <w:rFonts w:ascii="楷体_GB2312" w:eastAsia="楷体_GB2312"/>
          <w:b/>
          <w:color w:val="auto"/>
          <w:sz w:val="44"/>
          <w:szCs w:val="44"/>
          <w:highlight w:val="none"/>
        </w:rPr>
      </w:pPr>
    </w:p>
    <w:p w14:paraId="0579D82B">
      <w:pPr>
        <w:pStyle w:val="5"/>
        <w:spacing w:line="360" w:lineRule="auto"/>
        <w:rPr>
          <w:rFonts w:ascii="楷体_GB2312" w:eastAsia="楷体_GB2312"/>
          <w:b/>
          <w:color w:val="auto"/>
          <w:sz w:val="44"/>
          <w:szCs w:val="44"/>
          <w:highlight w:val="none"/>
        </w:rPr>
      </w:pPr>
    </w:p>
    <w:p w14:paraId="4AAD6915">
      <w:pPr>
        <w:pStyle w:val="6"/>
        <w:spacing w:line="360" w:lineRule="auto"/>
        <w:rPr>
          <w:rFonts w:ascii="楷体_GB2312" w:eastAsia="楷体_GB2312"/>
          <w:b/>
          <w:color w:val="auto"/>
          <w:sz w:val="44"/>
          <w:szCs w:val="44"/>
          <w:highlight w:val="none"/>
        </w:rPr>
      </w:pPr>
    </w:p>
    <w:p w14:paraId="1301268C">
      <w:pPr>
        <w:pStyle w:val="5"/>
        <w:spacing w:line="360" w:lineRule="auto"/>
        <w:rPr>
          <w:color w:val="auto"/>
          <w:highlight w:val="none"/>
        </w:rPr>
      </w:pPr>
    </w:p>
    <w:p w14:paraId="3BFC0AF7">
      <w:pPr>
        <w:pStyle w:val="6"/>
        <w:spacing w:line="360" w:lineRule="auto"/>
        <w:rPr>
          <w:rFonts w:ascii="楷体_GB2312" w:eastAsia="楷体_GB2312"/>
          <w:b/>
          <w:color w:val="auto"/>
          <w:sz w:val="44"/>
          <w:szCs w:val="44"/>
          <w:highlight w:val="none"/>
        </w:rPr>
      </w:pPr>
    </w:p>
    <w:p w14:paraId="5DDB64EB">
      <w:pPr>
        <w:pStyle w:val="5"/>
        <w:spacing w:line="360" w:lineRule="auto"/>
        <w:rPr>
          <w:rFonts w:ascii="楷体_GB2312" w:eastAsia="楷体_GB2312"/>
          <w:b/>
          <w:color w:val="auto"/>
          <w:sz w:val="44"/>
          <w:szCs w:val="44"/>
          <w:highlight w:val="none"/>
        </w:rPr>
      </w:pPr>
    </w:p>
    <w:p w14:paraId="42FF8844">
      <w:pPr>
        <w:pStyle w:val="6"/>
        <w:spacing w:line="360" w:lineRule="auto"/>
        <w:rPr>
          <w:rFonts w:ascii="楷体_GB2312" w:eastAsia="楷体_GB2312"/>
          <w:b/>
          <w:color w:val="auto"/>
          <w:sz w:val="44"/>
          <w:szCs w:val="44"/>
          <w:highlight w:val="none"/>
        </w:rPr>
      </w:pPr>
    </w:p>
    <w:p w14:paraId="2DA40DE7">
      <w:pPr>
        <w:pStyle w:val="5"/>
        <w:spacing w:line="360" w:lineRule="auto"/>
        <w:rPr>
          <w:rFonts w:ascii="楷体_GB2312" w:eastAsia="楷体_GB2312"/>
          <w:b/>
          <w:color w:val="auto"/>
          <w:sz w:val="44"/>
          <w:szCs w:val="44"/>
          <w:highlight w:val="none"/>
        </w:rPr>
      </w:pPr>
    </w:p>
    <w:p w14:paraId="62FC3ACA">
      <w:pPr>
        <w:pStyle w:val="7"/>
        <w:spacing w:line="360" w:lineRule="auto"/>
        <w:rPr>
          <w:rFonts w:ascii="楷体_GB2312" w:eastAsia="楷体_GB2312"/>
          <w:b/>
          <w:color w:val="auto"/>
          <w:sz w:val="44"/>
          <w:szCs w:val="44"/>
          <w:highlight w:val="none"/>
        </w:rPr>
      </w:pPr>
    </w:p>
    <w:p w14:paraId="39FADA24">
      <w:pPr>
        <w:pStyle w:val="7"/>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3"/>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3"/>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2231"/>
        <w:gridCol w:w="2128"/>
      </w:tblGrid>
      <w:tr w14:paraId="30A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5E62A444">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4DFF9C99">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896152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1289" w:type="dxa"/>
            <w:vAlign w:val="center"/>
          </w:tcPr>
          <w:p w14:paraId="732E655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231" w:type="dxa"/>
            <w:vAlign w:val="center"/>
          </w:tcPr>
          <w:p w14:paraId="35CF1C9D">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128" w:type="dxa"/>
            <w:vAlign w:val="center"/>
          </w:tcPr>
          <w:p w14:paraId="4B52C18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投标</w:t>
            </w:r>
            <w:r>
              <w:rPr>
                <w:rFonts w:hint="eastAsia" w:hAnsi="宋体"/>
                <w:color w:val="auto"/>
                <w:kern w:val="2"/>
                <w:sz w:val="24"/>
                <w:highlight w:val="none"/>
              </w:rPr>
              <w:t>总价</w:t>
            </w:r>
          </w:p>
        </w:tc>
      </w:tr>
      <w:tr w14:paraId="24F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97" w:type="dxa"/>
            <w:vAlign w:val="center"/>
          </w:tcPr>
          <w:p w14:paraId="7A070D0E">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67" w:type="dxa"/>
            <w:vAlign w:val="center"/>
          </w:tcPr>
          <w:p w14:paraId="1913E940">
            <w:pPr>
              <w:snapToGrid w:val="0"/>
              <w:spacing w:line="240" w:lineRule="auto"/>
              <w:jc w:val="center"/>
              <w:rPr>
                <w:rFonts w:ascii="宋体" w:hAnsi="宋体"/>
                <w:color w:val="auto"/>
                <w:sz w:val="24"/>
                <w:highlight w:val="none"/>
              </w:rPr>
            </w:pPr>
          </w:p>
        </w:tc>
        <w:tc>
          <w:tcPr>
            <w:tcW w:w="1289" w:type="dxa"/>
            <w:vAlign w:val="center"/>
          </w:tcPr>
          <w:p w14:paraId="41D344F1">
            <w:pPr>
              <w:snapToGrid w:val="0"/>
              <w:spacing w:line="240" w:lineRule="auto"/>
              <w:jc w:val="center"/>
              <w:rPr>
                <w:rFonts w:hint="default" w:ascii="宋体" w:hAnsi="宋体" w:eastAsia="宋体"/>
                <w:color w:val="auto"/>
                <w:sz w:val="24"/>
                <w:highlight w:val="none"/>
                <w:lang w:val="en-US" w:eastAsia="zh-CN"/>
              </w:rPr>
            </w:pPr>
          </w:p>
        </w:tc>
        <w:tc>
          <w:tcPr>
            <w:tcW w:w="2231" w:type="dxa"/>
            <w:vAlign w:val="center"/>
          </w:tcPr>
          <w:p w14:paraId="2EB98A0F">
            <w:pPr>
              <w:snapToGrid w:val="0"/>
              <w:spacing w:line="240" w:lineRule="auto"/>
              <w:jc w:val="center"/>
              <w:rPr>
                <w:rFonts w:ascii="宋体" w:hAnsi="宋体" w:cs="宋体"/>
                <w:color w:val="auto"/>
                <w:kern w:val="0"/>
                <w:sz w:val="24"/>
                <w:highlight w:val="none"/>
              </w:rPr>
            </w:pPr>
          </w:p>
        </w:tc>
        <w:tc>
          <w:tcPr>
            <w:tcW w:w="2128" w:type="dxa"/>
            <w:vAlign w:val="center"/>
          </w:tcPr>
          <w:p w14:paraId="5BCD9BD9">
            <w:pPr>
              <w:widowControl/>
              <w:spacing w:line="240" w:lineRule="auto"/>
              <w:jc w:val="left"/>
              <w:rPr>
                <w:rFonts w:ascii="宋体" w:hAnsi="宋体"/>
                <w:color w:val="auto"/>
                <w:sz w:val="24"/>
                <w:highlight w:val="none"/>
              </w:rPr>
            </w:pPr>
          </w:p>
        </w:tc>
      </w:tr>
    </w:tbl>
    <w:p w14:paraId="2DAFA4D7">
      <w:pPr>
        <w:pStyle w:val="32"/>
        <w:spacing w:line="360" w:lineRule="auto"/>
        <w:ind w:firstLine="6240" w:firstLineChars="2600"/>
        <w:rPr>
          <w:rFonts w:ascii="宋体" w:hAnsi="宋体"/>
          <w:color w:val="auto"/>
          <w:sz w:val="24"/>
          <w:highlight w:val="none"/>
        </w:rPr>
      </w:pPr>
    </w:p>
    <w:p w14:paraId="66E69FE9">
      <w:pPr>
        <w:pStyle w:val="17"/>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4"/>
        <w:spacing w:line="360" w:lineRule="auto"/>
        <w:rPr>
          <w:rFonts w:hint="default"/>
          <w:color w:val="auto"/>
          <w:highlight w:val="none"/>
        </w:rPr>
      </w:pPr>
    </w:p>
    <w:p w14:paraId="08843D2F">
      <w:pPr>
        <w:spacing w:line="360" w:lineRule="auto"/>
        <w:rPr>
          <w:color w:val="auto"/>
          <w:highlight w:val="none"/>
        </w:rPr>
      </w:pPr>
    </w:p>
    <w:p w14:paraId="470625DD">
      <w:pPr>
        <w:pStyle w:val="4"/>
        <w:spacing w:line="360" w:lineRule="auto"/>
        <w:rPr>
          <w:rFonts w:hint="default"/>
          <w:color w:val="auto"/>
          <w:highlight w:val="none"/>
        </w:rPr>
      </w:pPr>
    </w:p>
    <w:p w14:paraId="467B0764">
      <w:pPr>
        <w:spacing w:line="360" w:lineRule="auto"/>
        <w:rPr>
          <w:color w:val="auto"/>
          <w:highlight w:val="none"/>
        </w:rPr>
      </w:pPr>
    </w:p>
    <w:p w14:paraId="453B53F4">
      <w:pPr>
        <w:numPr>
          <w:ilvl w:val="0"/>
          <w:numId w:val="2"/>
        </w:numPr>
        <w:spacing w:line="360" w:lineRule="auto"/>
        <w:jc w:val="center"/>
        <w:rPr>
          <w:color w:val="auto"/>
          <w:highlight w:val="none"/>
        </w:rPr>
      </w:pPr>
      <w:r>
        <w:rPr>
          <w:color w:val="auto"/>
          <w:highlight w:val="none"/>
        </w:rPr>
        <w:br w:type="page"/>
      </w:r>
    </w:p>
    <w:p w14:paraId="65DE30F5">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2"/>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2"/>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CellMar>
            <w:top w:w="0" w:type="dxa"/>
            <w:left w:w="108" w:type="dxa"/>
            <w:bottom w:w="0" w:type="dxa"/>
            <w:right w:w="108" w:type="dxa"/>
          </w:tblCellMar>
        </w:tblPrEx>
        <w:trPr>
          <w:trHeight w:val="574" w:hRule="atLeast"/>
          <w:jc w:val="center"/>
        </w:trPr>
        <w:tc>
          <w:tcPr>
            <w:tcW w:w="825" w:type="dxa"/>
            <w:vAlign w:val="center"/>
          </w:tcPr>
          <w:p w14:paraId="2F509A3A">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2611DE16">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10"/>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hint="eastAsia" w:ascii="宋体" w:hAnsi="宋体" w:eastAsia="宋体"/>
                <w:color w:val="auto"/>
                <w:sz w:val="24"/>
                <w:highlight w:val="none"/>
                <w:lang w:val="en-US" w:eastAsia="zh-CN"/>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4"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373"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1484791">
      <w:pPr>
        <w:pStyle w:val="32"/>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B0C6F5">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B44D3C6"/>
    <w:multiLevelType w:val="singleLevel"/>
    <w:tmpl w:val="3B44D3C6"/>
    <w:lvl w:ilvl="0" w:tentative="0">
      <w:start w:val="2"/>
      <w:numFmt w:val="decimal"/>
      <w:suff w:val="nothing"/>
      <w:lvlText w:val="%1、"/>
      <w:lvlJc w:val="left"/>
      <w:pPr>
        <w:ind w:left="3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1F11A31"/>
    <w:rsid w:val="02724832"/>
    <w:rsid w:val="02BC2FB5"/>
    <w:rsid w:val="02D84900"/>
    <w:rsid w:val="02E34EA5"/>
    <w:rsid w:val="04656ED6"/>
    <w:rsid w:val="04C10310"/>
    <w:rsid w:val="04C91366"/>
    <w:rsid w:val="05462E5B"/>
    <w:rsid w:val="05B64224"/>
    <w:rsid w:val="06590829"/>
    <w:rsid w:val="074A0E7F"/>
    <w:rsid w:val="09866CFB"/>
    <w:rsid w:val="098722A7"/>
    <w:rsid w:val="09A06EBC"/>
    <w:rsid w:val="0B043CFB"/>
    <w:rsid w:val="0CA2647A"/>
    <w:rsid w:val="0E566C0E"/>
    <w:rsid w:val="0E981627"/>
    <w:rsid w:val="0EB52B71"/>
    <w:rsid w:val="0F987E18"/>
    <w:rsid w:val="0FE36A1F"/>
    <w:rsid w:val="10394744"/>
    <w:rsid w:val="11AD4ADB"/>
    <w:rsid w:val="11E05E3C"/>
    <w:rsid w:val="12182186"/>
    <w:rsid w:val="1444633F"/>
    <w:rsid w:val="14DD66A2"/>
    <w:rsid w:val="152E5C3B"/>
    <w:rsid w:val="154A10CC"/>
    <w:rsid w:val="17650515"/>
    <w:rsid w:val="189F78A2"/>
    <w:rsid w:val="19EC2827"/>
    <w:rsid w:val="1A640DA1"/>
    <w:rsid w:val="1AC71843"/>
    <w:rsid w:val="1AD364FF"/>
    <w:rsid w:val="1ADE3486"/>
    <w:rsid w:val="1B0115FC"/>
    <w:rsid w:val="1B08700D"/>
    <w:rsid w:val="1B547C35"/>
    <w:rsid w:val="1B8B5DAF"/>
    <w:rsid w:val="1C3B5EF2"/>
    <w:rsid w:val="1D871E0A"/>
    <w:rsid w:val="1D9C1B07"/>
    <w:rsid w:val="1DCF0496"/>
    <w:rsid w:val="1E2C09AB"/>
    <w:rsid w:val="1E897F61"/>
    <w:rsid w:val="1F1F544D"/>
    <w:rsid w:val="1FB93013"/>
    <w:rsid w:val="2043514F"/>
    <w:rsid w:val="206B3B33"/>
    <w:rsid w:val="213B2764"/>
    <w:rsid w:val="23767606"/>
    <w:rsid w:val="23C474A3"/>
    <w:rsid w:val="24201998"/>
    <w:rsid w:val="2432177F"/>
    <w:rsid w:val="252512E3"/>
    <w:rsid w:val="255E1091"/>
    <w:rsid w:val="25776FB2"/>
    <w:rsid w:val="2661634B"/>
    <w:rsid w:val="27BC5F2F"/>
    <w:rsid w:val="27C42B43"/>
    <w:rsid w:val="29167117"/>
    <w:rsid w:val="291B48B0"/>
    <w:rsid w:val="29323FCF"/>
    <w:rsid w:val="29A06C1B"/>
    <w:rsid w:val="2A604980"/>
    <w:rsid w:val="2AEC377E"/>
    <w:rsid w:val="2B0C5338"/>
    <w:rsid w:val="2B110340"/>
    <w:rsid w:val="2C2D2D72"/>
    <w:rsid w:val="2CBA4AF2"/>
    <w:rsid w:val="2D1E73A9"/>
    <w:rsid w:val="2F0C46EC"/>
    <w:rsid w:val="2FCF4325"/>
    <w:rsid w:val="312B6863"/>
    <w:rsid w:val="314A0153"/>
    <w:rsid w:val="31DB3455"/>
    <w:rsid w:val="33122EA7"/>
    <w:rsid w:val="33297254"/>
    <w:rsid w:val="334D7ECB"/>
    <w:rsid w:val="33772E96"/>
    <w:rsid w:val="33ED3A43"/>
    <w:rsid w:val="35E30AE8"/>
    <w:rsid w:val="363E2205"/>
    <w:rsid w:val="36F5483C"/>
    <w:rsid w:val="383B53FB"/>
    <w:rsid w:val="390C5384"/>
    <w:rsid w:val="39190CF7"/>
    <w:rsid w:val="392A5BA3"/>
    <w:rsid w:val="397A79F8"/>
    <w:rsid w:val="3A916DA7"/>
    <w:rsid w:val="3AC74142"/>
    <w:rsid w:val="3C381E4D"/>
    <w:rsid w:val="3D50551B"/>
    <w:rsid w:val="3D6C7658"/>
    <w:rsid w:val="3DC2628F"/>
    <w:rsid w:val="3E484D2E"/>
    <w:rsid w:val="3E5C0069"/>
    <w:rsid w:val="3E7A2DAA"/>
    <w:rsid w:val="3E8B1175"/>
    <w:rsid w:val="3F23344A"/>
    <w:rsid w:val="3F7171A7"/>
    <w:rsid w:val="40A8093A"/>
    <w:rsid w:val="40BD676E"/>
    <w:rsid w:val="41535EC7"/>
    <w:rsid w:val="4172247D"/>
    <w:rsid w:val="417E75E8"/>
    <w:rsid w:val="41D908F9"/>
    <w:rsid w:val="42603E96"/>
    <w:rsid w:val="4265527A"/>
    <w:rsid w:val="438B3EDE"/>
    <w:rsid w:val="44080628"/>
    <w:rsid w:val="44BE2733"/>
    <w:rsid w:val="44DA22E4"/>
    <w:rsid w:val="44F31851"/>
    <w:rsid w:val="44F425E8"/>
    <w:rsid w:val="4577303D"/>
    <w:rsid w:val="45AD2F03"/>
    <w:rsid w:val="46207A66"/>
    <w:rsid w:val="46A00372"/>
    <w:rsid w:val="46DF70EC"/>
    <w:rsid w:val="46EE7477"/>
    <w:rsid w:val="471548BC"/>
    <w:rsid w:val="474C3501"/>
    <w:rsid w:val="489259CA"/>
    <w:rsid w:val="48EB138F"/>
    <w:rsid w:val="49861AA1"/>
    <w:rsid w:val="498B431A"/>
    <w:rsid w:val="49CA090D"/>
    <w:rsid w:val="49E05427"/>
    <w:rsid w:val="4ADC2ED3"/>
    <w:rsid w:val="4B0E5E7B"/>
    <w:rsid w:val="4C15710C"/>
    <w:rsid w:val="4CE2174D"/>
    <w:rsid w:val="4D19055F"/>
    <w:rsid w:val="4F0040A4"/>
    <w:rsid w:val="4F7C19ED"/>
    <w:rsid w:val="503404A9"/>
    <w:rsid w:val="505C6EC4"/>
    <w:rsid w:val="51174807"/>
    <w:rsid w:val="513814F5"/>
    <w:rsid w:val="51497716"/>
    <w:rsid w:val="515D0643"/>
    <w:rsid w:val="520E5D83"/>
    <w:rsid w:val="522C2C59"/>
    <w:rsid w:val="52641AC3"/>
    <w:rsid w:val="52C00F0E"/>
    <w:rsid w:val="52E03481"/>
    <w:rsid w:val="541A03F5"/>
    <w:rsid w:val="54237B71"/>
    <w:rsid w:val="5473096B"/>
    <w:rsid w:val="54982BEA"/>
    <w:rsid w:val="55357439"/>
    <w:rsid w:val="55384597"/>
    <w:rsid w:val="55705E1C"/>
    <w:rsid w:val="55C65450"/>
    <w:rsid w:val="56A25A40"/>
    <w:rsid w:val="58276B15"/>
    <w:rsid w:val="58C92DB8"/>
    <w:rsid w:val="58CE0D6F"/>
    <w:rsid w:val="5A1254C1"/>
    <w:rsid w:val="5A130BD0"/>
    <w:rsid w:val="5A3433AD"/>
    <w:rsid w:val="5AB04889"/>
    <w:rsid w:val="5B761B8D"/>
    <w:rsid w:val="5D01514B"/>
    <w:rsid w:val="5D0E2082"/>
    <w:rsid w:val="5D675396"/>
    <w:rsid w:val="5E234D2E"/>
    <w:rsid w:val="5ED836FE"/>
    <w:rsid w:val="5EDF3C6C"/>
    <w:rsid w:val="5FF70156"/>
    <w:rsid w:val="600B149F"/>
    <w:rsid w:val="613E22C8"/>
    <w:rsid w:val="61BE15E6"/>
    <w:rsid w:val="621F7940"/>
    <w:rsid w:val="63A72E26"/>
    <w:rsid w:val="64CE03C4"/>
    <w:rsid w:val="654344B2"/>
    <w:rsid w:val="656779D7"/>
    <w:rsid w:val="65A672FB"/>
    <w:rsid w:val="65D40B4A"/>
    <w:rsid w:val="66023AC3"/>
    <w:rsid w:val="665A019F"/>
    <w:rsid w:val="670C6B88"/>
    <w:rsid w:val="676472D3"/>
    <w:rsid w:val="676D1D3B"/>
    <w:rsid w:val="684F3C7A"/>
    <w:rsid w:val="68AC5DD9"/>
    <w:rsid w:val="695D5F23"/>
    <w:rsid w:val="69E70454"/>
    <w:rsid w:val="6A5A6906"/>
    <w:rsid w:val="6AEF4C00"/>
    <w:rsid w:val="6B7A7983"/>
    <w:rsid w:val="6B7E7B69"/>
    <w:rsid w:val="6BDC09C2"/>
    <w:rsid w:val="6BF9674E"/>
    <w:rsid w:val="6C5F52C6"/>
    <w:rsid w:val="6DA050EC"/>
    <w:rsid w:val="6EE12747"/>
    <w:rsid w:val="6FA7439C"/>
    <w:rsid w:val="6FF3138F"/>
    <w:rsid w:val="70943533"/>
    <w:rsid w:val="724C6CCB"/>
    <w:rsid w:val="72845AC6"/>
    <w:rsid w:val="72C37D7C"/>
    <w:rsid w:val="72D031DB"/>
    <w:rsid w:val="731A4E85"/>
    <w:rsid w:val="73223D39"/>
    <w:rsid w:val="73F7134B"/>
    <w:rsid w:val="74B308B5"/>
    <w:rsid w:val="75247769"/>
    <w:rsid w:val="753F0E71"/>
    <w:rsid w:val="75716A92"/>
    <w:rsid w:val="758D2516"/>
    <w:rsid w:val="762E0435"/>
    <w:rsid w:val="76AB7B59"/>
    <w:rsid w:val="76F66590"/>
    <w:rsid w:val="78553649"/>
    <w:rsid w:val="78D50787"/>
    <w:rsid w:val="790068CB"/>
    <w:rsid w:val="7AAF5381"/>
    <w:rsid w:val="7AE30252"/>
    <w:rsid w:val="7C354ADD"/>
    <w:rsid w:val="7CF7290C"/>
    <w:rsid w:val="7D3F0A9F"/>
    <w:rsid w:val="7D5A4817"/>
    <w:rsid w:val="7DC41D70"/>
    <w:rsid w:val="7E924469"/>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next w:val="1"/>
    <w:link w:val="36"/>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9"/>
    <w:next w:val="21"/>
    <w:autoRedefine/>
    <w:qFormat/>
    <w:uiPriority w:val="0"/>
    <w:pPr>
      <w:ind w:firstLine="420" w:firstLineChars="100"/>
    </w:pPr>
    <w:rPr>
      <w:rFonts w:ascii="Times New Roman" w:hAnsi="Times New Roman"/>
      <w:szCs w:val="20"/>
    </w:rPr>
  </w:style>
  <w:style w:type="paragraph" w:styleId="21">
    <w:name w:val="Body Text First Indent 2"/>
    <w:basedOn w:val="6"/>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Emphasis"/>
    <w:basedOn w:val="24"/>
    <w:qFormat/>
    <w:uiPriority w:val="0"/>
    <w:rPr>
      <w:i/>
    </w:rPr>
  </w:style>
  <w:style w:type="character" w:styleId="27">
    <w:name w:val="Hyperlink"/>
    <w:basedOn w:val="24"/>
    <w:autoRedefine/>
    <w:qFormat/>
    <w:uiPriority w:val="0"/>
    <w:rPr>
      <w:color w:val="0000FF"/>
      <w:u w:val="single"/>
    </w:rPr>
  </w:style>
  <w:style w:type="character" w:styleId="28">
    <w:name w:val="annotation reference"/>
    <w:basedOn w:val="24"/>
    <w:autoRedefine/>
    <w:qFormat/>
    <w:uiPriority w:val="0"/>
    <w:rPr>
      <w:sz w:val="21"/>
      <w:szCs w:val="21"/>
    </w:rPr>
  </w:style>
  <w:style w:type="paragraph" w:customStyle="1" w:styleId="29">
    <w:name w:val="样式3"/>
    <w:basedOn w:val="10"/>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4"/>
    <w:link w:val="14"/>
    <w:autoRedefine/>
    <w:qFormat/>
    <w:uiPriority w:val="0"/>
    <w:rPr>
      <w:rFonts w:ascii="Calibri" w:hAnsi="Calibri"/>
      <w:kern w:val="2"/>
      <w:sz w:val="18"/>
      <w:szCs w:val="18"/>
    </w:rPr>
  </w:style>
  <w:style w:type="character" w:customStyle="1" w:styleId="36">
    <w:name w:val="批注框文本 Char"/>
    <w:basedOn w:val="24"/>
    <w:link w:val="12"/>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11345</Words>
  <Characters>12100</Characters>
  <Lines>186</Lines>
  <Paragraphs>52</Paragraphs>
  <TotalTime>2</TotalTime>
  <ScaleCrop>false</ScaleCrop>
  <LinksUpToDate>false</LinksUpToDate>
  <CharactersWithSpaces>12386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2025-10-31T09:10:42Z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1ABCAA2155524548A6A068A7A2D8B38D_13</vt:lpwstr>
  </property>
  <property fmtid="{D5CDD505-2E9C-101B-9397-08002B2CF9AE}" pid="4" name="KSOTemplateDocerSaveRecord">
    <vt:lpwstr>eyJoZGlkIjoiMzNlMTg1ZmRhMjJhMzI1NTNjZGIzMDVkMDhlZjg2ZmMiLCJ1c2VySWQiOiI2MTM2Nzk1NDkifQ==</vt:lpwstr>
  </property>
</Properties>
</file>