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53A67558">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 xml:space="preserve">JJZB-WJ-2025025 </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福州职业技术学院国际教育中心走廊文化提升建设项目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0D9978F">
      <w:pPr>
        <w:pStyle w:val="20"/>
        <w:rPr>
          <w:rFonts w:hint="eastAsia"/>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福州职业技术学院国际教育中心走廊文化提升建设项目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JJZB-WJ-2025025</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福州职业技术学院国际教育中心走廊文化提升建设项目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货物</w:t>
      </w:r>
      <w:r>
        <w:rPr>
          <w:rFonts w:hint="eastAsia" w:ascii="宋体" w:hAnsi="宋体" w:eastAsia="宋体" w:cs="宋体"/>
          <w:b/>
          <w:color w:val="auto"/>
          <w:sz w:val="24"/>
          <w:highlight w:val="none"/>
        </w:rPr>
        <w:t>名称、数量及主要技术规</w:t>
      </w:r>
      <w:r>
        <w:rPr>
          <w:rFonts w:hint="eastAsia" w:ascii="宋体" w:hAnsi="宋体" w:cs="宋体"/>
          <w:b/>
          <w:color w:val="auto"/>
          <w:sz w:val="24"/>
          <w:highlight w:val="none"/>
          <w:lang w:eastAsia="zh-CN"/>
        </w:rPr>
        <w:t>格和</w:t>
      </w:r>
      <w:r>
        <w:rPr>
          <w:rFonts w:hint="eastAsia" w:ascii="宋体" w:hAnsi="宋体" w:eastAsia="宋体" w:cs="宋体"/>
          <w:b/>
          <w:color w:val="auto"/>
          <w:sz w:val="24"/>
          <w:highlight w:val="none"/>
        </w:rPr>
        <w:t>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rPr>
        <w:t>:00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（1）有能力提供本网上竞价文件所述服务的法人、事业单位及其他组织均可能成为合格的供应商；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39C7024B">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cs="宋体"/>
          <w:b w:val="0"/>
          <w:bCs w:val="0"/>
          <w:sz w:val="24"/>
          <w:highlight w:val="none"/>
          <w:lang w:val="en-US" w:eastAsia="zh-CN"/>
        </w:rPr>
      </w:pPr>
      <w:r>
        <w:rPr>
          <w:rFonts w:hint="eastAsia" w:ascii="宋体" w:hAnsi="宋体" w:eastAsia="宋体" w:cs="宋体"/>
          <w:b w:val="0"/>
          <w:bCs w:val="0"/>
          <w:sz w:val="24"/>
          <w:highlight w:val="none"/>
        </w:rPr>
        <w:t>⑤特定资格要求</w:t>
      </w:r>
      <w:r>
        <w:rPr>
          <w:rFonts w:hint="eastAsia" w:ascii="宋体" w:hAnsi="宋体" w:eastAsia="宋体" w:cs="宋体"/>
          <w:b w:val="0"/>
          <w:bCs w:val="0"/>
          <w:sz w:val="24"/>
          <w:highlight w:val="none"/>
          <w:lang w:eastAsia="zh-CN"/>
        </w:rPr>
        <w:t>：</w:t>
      </w:r>
      <w:r>
        <w:rPr>
          <w:rFonts w:hint="eastAsia" w:ascii="宋体" w:hAnsi="宋体" w:cs="宋体"/>
          <w:b w:val="0"/>
          <w:bCs w:val="0"/>
          <w:sz w:val="24"/>
          <w:highlight w:val="none"/>
          <w:lang w:val="en-US" w:eastAsia="zh-CN"/>
        </w:rPr>
        <w:t>无。</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lang w:eastAsia="zh-CN"/>
        </w:rPr>
        <w:t>郑其杰 13375002701</w:t>
      </w:r>
      <w:r>
        <w:rPr>
          <w:rFonts w:hint="eastAsia" w:ascii="宋体" w:hAnsi="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w:t>
      </w:r>
      <w:r>
        <w:rPr>
          <w:rStyle w:val="31"/>
          <w:rFonts w:hint="eastAsia"/>
          <w:color w:val="auto"/>
          <w:sz w:val="24"/>
          <w:highlight w:val="none"/>
          <w:lang w:val="en-US"/>
        </w:rPr>
        <w:t>的</w:t>
      </w:r>
      <w:r>
        <w:rPr>
          <w:rStyle w:val="31"/>
          <w:rFonts w:hint="eastAsia"/>
          <w:color w:val="auto"/>
          <w:sz w:val="24"/>
          <w:highlight w:val="none"/>
        </w:rPr>
        <w:t>无效响应情形，则报名审核不合格，该供应商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w:t>
      </w:r>
      <w:r>
        <w:rPr>
          <w:rStyle w:val="31"/>
          <w:rFonts w:hint="eastAsia" w:ascii="Times New Roman" w:hAnsi="Times New Roman" w:cs="Times New Roman"/>
          <w:color w:val="auto"/>
          <w:sz w:val="24"/>
          <w:highlight w:val="none"/>
          <w:lang w:val="en-US"/>
        </w:rPr>
        <w:t>后</w:t>
      </w:r>
      <w:r>
        <w:rPr>
          <w:rStyle w:val="31"/>
          <w:rFonts w:hint="eastAsia" w:ascii="Times New Roman" w:hAnsi="Times New Roman" w:cs="Times New Roman"/>
          <w:color w:val="auto"/>
          <w:sz w:val="24"/>
          <w:highlight w:val="none"/>
        </w:rPr>
        <w:t>，采购人将按照相关规定进行后续采购活动（包括但不限于：重新开展网上竞价活动、采用其他方式采购等）。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w:t>
      </w:r>
      <w:r>
        <w:rPr>
          <w:rFonts w:hint="eastAsia" w:ascii="宋体" w:hAnsi="宋体" w:cs="宋体"/>
          <w:b/>
          <w:bCs/>
          <w:color w:val="auto"/>
          <w:kern w:val="2"/>
          <w:sz w:val="24"/>
          <w:szCs w:val="24"/>
          <w:highlight w:val="none"/>
          <w:lang w:val="en-US" w:eastAsia="zh-CN" w:bidi="ar-SA"/>
        </w:rPr>
        <w:t>目</w:t>
      </w:r>
      <w:r>
        <w:rPr>
          <w:rFonts w:hint="eastAsia" w:ascii="宋体" w:hAnsi="宋体" w:eastAsia="宋体" w:cs="宋体"/>
          <w:b/>
          <w:bCs/>
          <w:color w:val="auto"/>
          <w:kern w:val="2"/>
          <w:sz w:val="24"/>
          <w:szCs w:val="24"/>
          <w:highlight w:val="none"/>
          <w:lang w:val="en-US" w:eastAsia="zh-CN" w:bidi="ar-SA"/>
        </w:rPr>
        <w:t>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25054DAB">
      <w:pPr>
        <w:spacing w:line="500" w:lineRule="exact"/>
        <w:ind w:firstLine="480" w:firstLineChars="200"/>
        <w:jc w:val="left"/>
        <w:rPr>
          <w:rFonts w:hint="eastAsia" w:ascii="宋体" w:hAnsi="宋体" w:cs="宋体"/>
          <w:b/>
          <w:color w:val="auto"/>
          <w:kern w:val="0"/>
          <w:sz w:val="28"/>
          <w:szCs w:val="28"/>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46300367"/>
      <w:bookmarkStart w:id="4" w:name="_Toc327948617"/>
      <w:bookmarkStart w:id="5" w:name="_Toc347060296"/>
      <w:bookmarkStart w:id="6" w:name="_Toc330567034"/>
      <w:r>
        <w:rPr>
          <w:rFonts w:hint="eastAsia" w:ascii="宋体" w:hAnsi="宋体" w:cs="宋体"/>
          <w:b/>
          <w:color w:val="auto"/>
          <w:sz w:val="24"/>
          <w:szCs w:val="24"/>
          <w:highlight w:val="none"/>
        </w:rPr>
        <w:t>一、项目概述</w:t>
      </w:r>
      <w:bookmarkEnd w:id="1"/>
      <w:bookmarkEnd w:id="2"/>
    </w:p>
    <w:p w14:paraId="17DC3AE2">
      <w:pPr>
        <w:pStyle w:val="3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竞价</w:t>
      </w:r>
      <w:r>
        <w:rPr>
          <w:rFonts w:hint="eastAsia" w:asciiTheme="minorEastAsia" w:hAnsiTheme="minorEastAsia" w:eastAsiaTheme="minorEastAsia" w:cstheme="minorEastAsia"/>
          <w:color w:val="auto"/>
          <w:sz w:val="24"/>
          <w:szCs w:val="24"/>
          <w:highlight w:val="none"/>
        </w:rPr>
        <w:t xml:space="preserve">标的一览表 </w:t>
      </w:r>
    </w:p>
    <w:p w14:paraId="3CE9C071">
      <w:pPr>
        <w:pStyle w:val="3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金额单位：人民币元</w:t>
      </w:r>
    </w:p>
    <w:tbl>
      <w:tblPr>
        <w:tblStyle w:val="22"/>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18"/>
        <w:gridCol w:w="1884"/>
        <w:gridCol w:w="809"/>
        <w:gridCol w:w="1712"/>
        <w:gridCol w:w="2444"/>
        <w:gridCol w:w="1279"/>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采购包</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品目号</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项目名称</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数量</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bCs/>
                <w:color w:val="auto"/>
                <w:kern w:val="0"/>
                <w:sz w:val="24"/>
                <w:szCs w:val="24"/>
                <w:highlight w:val="none"/>
                <w:lang w:val="en-US"/>
              </w:rPr>
            </w:pPr>
            <w:r>
              <w:rPr>
                <w:rFonts w:hint="eastAsia" w:asciiTheme="minorEastAsia" w:hAnsiTheme="minorEastAsia" w:eastAsiaTheme="minorEastAsia" w:cstheme="minorEastAsia"/>
                <w:b/>
                <w:bCs/>
                <w:color w:val="auto"/>
                <w:kern w:val="0"/>
                <w:sz w:val="24"/>
                <w:szCs w:val="24"/>
                <w:highlight w:val="none"/>
                <w:lang w:val="en-US" w:eastAsia="zh-CN"/>
              </w:rPr>
              <w:t>交付时间</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技术和服务要求</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1-1</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994EF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福州职业技术学院国际教育中心走廊文化提升建设项目</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1批</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自合同签订之日起30日内交付完成</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eastAsia="zh-CN"/>
              </w:rPr>
              <w:t>详见“第三章 网上竞价内容及要求二、技术和服务要求”</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 xml:space="preserve">98940.00 </w:t>
            </w:r>
          </w:p>
        </w:tc>
      </w:tr>
    </w:tbl>
    <w:p w14:paraId="494F6A1F">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2、</w:t>
      </w:r>
      <w:r>
        <w:rPr>
          <w:rFonts w:hint="eastAsia" w:asciiTheme="minorEastAsia" w:hAnsiTheme="minorEastAsia" w:eastAsiaTheme="minorEastAsia" w:cstheme="minorEastAsia"/>
          <w:b w:val="0"/>
          <w:bCs w:val="0"/>
          <w:color w:val="auto"/>
          <w:kern w:val="0"/>
          <w:sz w:val="24"/>
          <w:szCs w:val="24"/>
          <w:highlight w:val="none"/>
          <w:lang w:val="en-US" w:eastAsia="zh-CN" w:bidi="ar-SA"/>
        </w:rPr>
        <w:t>本项目采购包成交候选人数量：1名。</w:t>
      </w:r>
    </w:p>
    <w:p w14:paraId="2FFAEBAB">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4、供应商报价应包含本次项目所涉及到的所有费用，包括但不限于：项目设计</w:t>
      </w:r>
      <w:r>
        <w:rPr>
          <w:rFonts w:hint="eastAsia" w:asciiTheme="minorEastAsia" w:hAnsiTheme="minorEastAsia" w:eastAsiaTheme="minorEastAsia" w:cstheme="minorEastAsia"/>
          <w:sz w:val="24"/>
          <w:szCs w:val="24"/>
          <w:lang w:val="en-US" w:eastAsia="zh-CN"/>
        </w:rPr>
        <w:t>、人工、材料、工具</w:t>
      </w:r>
      <w:r>
        <w:rPr>
          <w:rFonts w:hint="eastAsia" w:asciiTheme="minorEastAsia" w:hAnsiTheme="minorEastAsia" w:eastAsiaTheme="minorEastAsia" w:cstheme="minorEastAsia"/>
          <w:b w:val="0"/>
          <w:bCs w:val="0"/>
          <w:color w:val="auto"/>
          <w:kern w:val="0"/>
          <w:sz w:val="24"/>
          <w:szCs w:val="24"/>
          <w:highlight w:val="none"/>
          <w:lang w:val="en-US" w:eastAsia="zh-CN" w:bidi="ar-SA"/>
        </w:rPr>
        <w:t>、税费等。</w:t>
      </w:r>
    </w:p>
    <w:p w14:paraId="442EA31C">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二、技术和服务要求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tbl>
      <w:tblPr>
        <w:tblStyle w:val="22"/>
        <w:tblW w:w="10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612"/>
        <w:gridCol w:w="5235"/>
        <w:gridCol w:w="765"/>
        <w:gridCol w:w="964"/>
        <w:gridCol w:w="964"/>
      </w:tblGrid>
      <w:tr w14:paraId="7F47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E664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0C47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货物名称</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F9B1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技术要求</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1976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977B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单价最高限价（元）</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DECB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总价最高限价（元）</w:t>
            </w:r>
          </w:p>
        </w:tc>
      </w:tr>
      <w:tr w14:paraId="7512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7C8A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AC22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走廊主形象墙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BD453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1、尺寸：8500mm*2700mm。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2、工艺：文字及图案≥10mmPVC雕刻造型烤漆，uv印刷+软膜灯箱不锈钢边框。</w:t>
            </w:r>
            <w:r>
              <w:rPr>
                <w:rFonts w:hint="eastAsia" w:asciiTheme="minorEastAsia" w:hAnsiTheme="minorEastAsia" w:eastAsiaTheme="minorEastAsia" w:cstheme="minorEastAsia"/>
                <w:b/>
                <w:bCs/>
                <w:i w:val="0"/>
                <w:iCs w:val="0"/>
                <w:color w:val="000000"/>
                <w:kern w:val="0"/>
                <w:sz w:val="24"/>
                <w:szCs w:val="24"/>
                <w:u w:val="none"/>
                <w:lang w:val="en-US" w:eastAsia="zh-CN" w:bidi="ar"/>
              </w:rPr>
              <w:t>供应商需提供不锈钢板（304）检(验)测报告（包含如下项目）：①抗拉强度＞520Mpa；②下屈服强度&gt;205Mpa；③弯曲强度&gt;210Mpa；④击穿强度100J；⑤断后伸长率≥40%；⑥中性盐雾 150H,等级≥8。【须提供具有CMA或CNAS资质的检测机构出具有效的检测（检验）报告复印件，并加盖供应商公章】</w:t>
            </w:r>
          </w:p>
          <w:p w14:paraId="339F57E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208走廊墙面。</w:t>
            </w:r>
          </w:p>
          <w:p w14:paraId="03BA11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4、供应商需负责设计制作以及安装。</w:t>
            </w:r>
            <w:bookmarkStart w:id="8" w:name="_GoBack"/>
            <w:bookmarkEnd w:id="8"/>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E8BE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0CCF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19200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E51F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19200</w:t>
            </w:r>
          </w:p>
        </w:tc>
      </w:tr>
      <w:tr w14:paraId="2C78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02F3D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23DF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习近平语录墙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EA5E4B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1、尺寸：3600mm*2700mm。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76D9DC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215走廊墙面。</w:t>
            </w:r>
          </w:p>
          <w:p w14:paraId="0D1E229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43C386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C63B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528E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4800</w:t>
            </w:r>
          </w:p>
        </w:tc>
      </w:tr>
      <w:tr w14:paraId="28C3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1E1E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2687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放眼世界文化墙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AF877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1、尺寸：4850mm*2700mm。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3D864D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207走廊墙面。</w:t>
            </w:r>
          </w:p>
          <w:p w14:paraId="28E9F4E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43F98B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486C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1294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9800</w:t>
            </w:r>
          </w:p>
        </w:tc>
      </w:tr>
      <w:tr w14:paraId="5F42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13EB1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6246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海丝学院尼日利亚文化墙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175539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1、尺寸：20000mm*2700mm。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6766FA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211走廊墙面。</w:t>
            </w:r>
          </w:p>
          <w:p w14:paraId="31D89C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4416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D646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E5E1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4800</w:t>
            </w:r>
          </w:p>
        </w:tc>
      </w:tr>
      <w:tr w14:paraId="26FD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101B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FDCA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海丝学院泰国曼谷文化墙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A0523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1、尺寸：20000mm*2700mm。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361CFE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211走廊墙面对面。</w:t>
            </w:r>
          </w:p>
          <w:p w14:paraId="51509DD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41D01D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0581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C163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3600</w:t>
            </w:r>
          </w:p>
        </w:tc>
      </w:tr>
      <w:tr w14:paraId="68BA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03AD7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ED94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鲁班学院泰国曼谷文化标语墙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D0DFEC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1、尺寸：3600mm*2700mm。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4449B8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通道墙面。</w:t>
            </w:r>
          </w:p>
          <w:p w14:paraId="35CF79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BFD8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8A13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4680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FBF9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4680</w:t>
            </w:r>
          </w:p>
        </w:tc>
      </w:tr>
      <w:tr w14:paraId="0AFA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FAF1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3836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海丝埃及文化墙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C8137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1、尺寸：3600mm*2700mm。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4047ECB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通道墙面02。</w:t>
            </w:r>
          </w:p>
          <w:p w14:paraId="062DD1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F91C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F07B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2941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4800</w:t>
            </w:r>
          </w:p>
        </w:tc>
      </w:tr>
      <w:tr w14:paraId="5754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41CE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A007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对外合作交流篇-美国塔科马市贝莰技术学院文化墙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6C1DD8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1、尺寸：7000mm*2700mm。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2、工艺：文字及图案≥10mmPVC烤漆，亚克力uv印刷，发光标志，发光迷你字灯箱。</w:t>
            </w:r>
            <w:r>
              <w:rPr>
                <w:rFonts w:hint="eastAsia" w:asciiTheme="minorEastAsia" w:hAnsiTheme="minorEastAsia" w:eastAsiaTheme="minorEastAsia" w:cstheme="minorEastAsia"/>
                <w:b/>
                <w:bCs/>
                <w:i w:val="0"/>
                <w:iCs w:val="0"/>
                <w:color w:val="000000"/>
                <w:kern w:val="0"/>
                <w:sz w:val="24"/>
                <w:szCs w:val="24"/>
                <w:u w:val="none"/>
                <w:lang w:val="en-US" w:eastAsia="zh-CN" w:bidi="ar"/>
              </w:rPr>
              <w:t>供应商需提供亚克力板检(验)测报告（包含如下项目）：①透光率≥90%；②抗拉强度≥90Mpa；③光老化测试，150H变色等级≥4；④耐高温，60℃100H：样品无明显变形，发粘，测试结论为合格；⑤铅、镉、汞、六价铬含量测试结论为合格。【须提供具有CMA或CNAS资质的检测机构出具有效的检测（检验）报告复印件，并加盖供应商公章】</w:t>
            </w:r>
          </w:p>
          <w:p w14:paraId="0F7BB2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213走廊墙面。</w:t>
            </w:r>
          </w:p>
          <w:p w14:paraId="3AB5F0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0F18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A25F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CAA0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3600</w:t>
            </w:r>
          </w:p>
        </w:tc>
      </w:tr>
      <w:tr w14:paraId="3ED1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DDB6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EAC6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游学风采文化墙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B2D95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1、尺寸：3600mm*2700mm。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7E74AC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212走廊墙面。</w:t>
            </w:r>
          </w:p>
          <w:p w14:paraId="64FF6C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6D98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B150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2BFD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5400</w:t>
            </w:r>
          </w:p>
        </w:tc>
      </w:tr>
      <w:tr w14:paraId="4355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FEB3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4A6D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文儒书院挂牌文化墙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8CEEF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1、尺寸：7000mm*2700mm。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4956B2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通道走廊墙面01。</w:t>
            </w:r>
          </w:p>
          <w:p w14:paraId="648A12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9DE9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0726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A1A6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4800</w:t>
            </w:r>
          </w:p>
        </w:tc>
      </w:tr>
      <w:tr w14:paraId="2C7A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3F7F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B750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对外合作交流三一圣文化墙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DAB49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1、尺寸：6000mm*2700mm。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794D96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通道走廊墙面02。</w:t>
            </w:r>
          </w:p>
          <w:p w14:paraId="63C415D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B22DED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A123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EEEC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4800</w:t>
            </w:r>
          </w:p>
        </w:tc>
      </w:tr>
      <w:tr w14:paraId="2237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BA08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199E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国际学生文化墙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F7F260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1、尺寸：10000mm*2700mm。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61F08D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文儒书院墙面。</w:t>
            </w:r>
          </w:p>
          <w:p w14:paraId="364560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0A82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7DEF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BBF0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4800</w:t>
            </w:r>
          </w:p>
        </w:tc>
      </w:tr>
      <w:tr w14:paraId="24E7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0DBF9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7299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党建文化墙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089DD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1、尺寸：10000mm*2700mm。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031E56B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文儒书院对面墙面。</w:t>
            </w:r>
          </w:p>
          <w:p w14:paraId="7481B5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C4D6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0C0C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6360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FEEE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6360</w:t>
            </w:r>
          </w:p>
        </w:tc>
      </w:tr>
      <w:tr w14:paraId="7160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ADE4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B80E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荣誉文化墙加电梯口柜子文化墙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28486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1、尺寸：6600mm*2700mm。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712DC8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文儒书院墙面01。</w:t>
            </w:r>
          </w:p>
          <w:p w14:paraId="34AAF4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0A74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D1A4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CA57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3600</w:t>
            </w:r>
          </w:p>
        </w:tc>
      </w:tr>
      <w:tr w14:paraId="006B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768E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886F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传统文化墙</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0F853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1、尺寸：6600mm*2700mm。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2、工艺：文字及图案≥10mmPVC雕刻造型烤漆，uv印刷。</w:t>
            </w:r>
          </w:p>
          <w:p w14:paraId="59863B0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3、地点：</w:t>
            </w:r>
            <w:r>
              <w:rPr>
                <w:rFonts w:hint="eastAsia" w:asciiTheme="minorEastAsia" w:hAnsiTheme="minorEastAsia" w:eastAsiaTheme="minorEastAsia" w:cstheme="minorEastAsia"/>
                <w:i w:val="0"/>
                <w:iCs w:val="0"/>
                <w:color w:val="000000"/>
                <w:kern w:val="0"/>
                <w:sz w:val="24"/>
                <w:szCs w:val="24"/>
                <w:u w:val="none"/>
                <w:lang w:val="en-US" w:eastAsia="zh-CN" w:bidi="ar"/>
              </w:rPr>
              <w:t>文儒书院墙面02。</w:t>
            </w:r>
          </w:p>
          <w:p w14:paraId="520B87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sz w:val="24"/>
                <w:szCs w:val="24"/>
                <w:lang w:val="en-US" w:eastAsia="zh-CN"/>
              </w:rPr>
              <w:t>4、供应商需负责设计制作以及安装。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4F34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E6F7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18BF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4800</w:t>
            </w:r>
          </w:p>
        </w:tc>
      </w:tr>
      <w:tr w14:paraId="1D5E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5F42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B9CF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拆除旧宣传栏与修补墙面</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FE56E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1、拆除原有旧宣传栏修补墙面以及垃圾清运。</w:t>
            </w:r>
          </w:p>
          <w:p w14:paraId="05EBE4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2、地点：</w:t>
            </w:r>
            <w:r>
              <w:rPr>
                <w:rFonts w:hint="eastAsia" w:asciiTheme="minorEastAsia" w:hAnsiTheme="minorEastAsia" w:eastAsiaTheme="minorEastAsia" w:cstheme="minorEastAsia"/>
                <w:i w:val="0"/>
                <w:iCs w:val="0"/>
                <w:color w:val="000000"/>
                <w:kern w:val="0"/>
                <w:sz w:val="24"/>
                <w:szCs w:val="24"/>
                <w:u w:val="none"/>
                <w:lang w:val="en-US" w:eastAsia="zh-CN" w:bidi="ar"/>
              </w:rPr>
              <w:t>走廊。</w:t>
            </w:r>
          </w:p>
          <w:p w14:paraId="593140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3、供应商需负责设计制作以及安装。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0D00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0388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7608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4900</w:t>
            </w:r>
          </w:p>
        </w:tc>
      </w:tr>
      <w:tr w14:paraId="60A0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54C9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612"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1B96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轨道射灯</w:t>
            </w:r>
          </w:p>
        </w:tc>
        <w:tc>
          <w:tcPr>
            <w:tcW w:w="523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CE8814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不锈钢烤漆轨道射灯6个。</w:t>
            </w:r>
          </w:p>
          <w:p w14:paraId="5BA4D8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2、地点：</w:t>
            </w:r>
            <w:r>
              <w:rPr>
                <w:rFonts w:hint="eastAsia" w:asciiTheme="minorEastAsia" w:hAnsiTheme="minorEastAsia" w:eastAsiaTheme="minorEastAsia" w:cstheme="minorEastAsia"/>
                <w:i w:val="0"/>
                <w:iCs w:val="0"/>
                <w:color w:val="000000"/>
                <w:kern w:val="0"/>
                <w:sz w:val="24"/>
                <w:szCs w:val="24"/>
                <w:u w:val="none"/>
                <w:lang w:val="en-US" w:eastAsia="zh-CN" w:bidi="ar"/>
              </w:rPr>
              <w:t>走廊。</w:t>
            </w:r>
          </w:p>
          <w:p w14:paraId="7C7EB02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3、供应商需负责设计制作以及安装。</w:t>
            </w:r>
          </w:p>
        </w:tc>
        <w:tc>
          <w:tcPr>
            <w:tcW w:w="76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45A1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B685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4200</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814B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4200</w:t>
            </w:r>
          </w:p>
        </w:tc>
      </w:tr>
      <w:tr w14:paraId="633C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313" w:type="dxa"/>
            <w:gridSpan w:val="5"/>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25FA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合计金额（元）</w:t>
            </w:r>
          </w:p>
        </w:tc>
        <w:tc>
          <w:tcPr>
            <w:tcW w:w="964"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A814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98940</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三、商务要求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p w14:paraId="455E0420">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交付</w:t>
      </w:r>
      <w:r>
        <w:rPr>
          <w:rFonts w:hint="eastAsia" w:asciiTheme="minorEastAsia" w:hAnsiTheme="minorEastAsia" w:eastAsiaTheme="minorEastAsia" w:cstheme="minorEastAsia"/>
          <w:b/>
          <w:bCs/>
          <w:color w:val="auto"/>
          <w:kern w:val="0"/>
          <w:sz w:val="24"/>
          <w:szCs w:val="24"/>
          <w:highlight w:val="none"/>
        </w:rPr>
        <w:t>地点：</w:t>
      </w:r>
      <w:r>
        <w:rPr>
          <w:rFonts w:hint="eastAsia" w:asciiTheme="minorEastAsia" w:hAnsiTheme="minorEastAsia" w:eastAsiaTheme="minorEastAsia" w:cstheme="minorEastAsia"/>
          <w:b w:val="0"/>
          <w:bCs w:val="0"/>
          <w:color w:val="auto"/>
          <w:kern w:val="0"/>
          <w:sz w:val="24"/>
          <w:szCs w:val="24"/>
          <w:highlight w:val="none"/>
        </w:rPr>
        <w:t>福州职业技术学院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采购人指定地点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eastAsia="zh-CN"/>
        </w:rPr>
        <w:t>、交付时间</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自合同签订之日起30日内交付完成</w:t>
      </w:r>
      <w:r>
        <w:rPr>
          <w:rFonts w:hint="eastAsia" w:asciiTheme="minorEastAsia" w:hAnsiTheme="minorEastAsia" w:eastAsiaTheme="minorEastAsia" w:cstheme="minorEastAsia"/>
          <w:b w:val="0"/>
          <w:bCs w:val="0"/>
          <w:color w:val="auto"/>
          <w:kern w:val="0"/>
          <w:sz w:val="24"/>
          <w:szCs w:val="24"/>
          <w:highlight w:val="none"/>
          <w:lang w:eastAsia="zh-CN"/>
        </w:rPr>
        <w:t>。</w:t>
      </w:r>
    </w:p>
    <w:p w14:paraId="0F21BAE8">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交付条件：</w:t>
      </w:r>
      <w:r>
        <w:rPr>
          <w:rFonts w:hint="eastAsia" w:asciiTheme="minorEastAsia" w:hAnsiTheme="minorEastAsia" w:eastAsiaTheme="minorEastAsia" w:cstheme="minorEastAsia"/>
          <w:b w:val="0"/>
          <w:bCs w:val="0"/>
          <w:color w:val="auto"/>
          <w:kern w:val="0"/>
          <w:sz w:val="24"/>
          <w:szCs w:val="24"/>
          <w:highlight w:val="none"/>
          <w:lang w:val="en-US" w:eastAsia="zh-CN"/>
        </w:rPr>
        <w:t>经采购人</w:t>
      </w:r>
      <w:r>
        <w:rPr>
          <w:rFonts w:hint="eastAsia" w:asciiTheme="minorEastAsia" w:hAnsiTheme="minorEastAsia" w:eastAsiaTheme="minorEastAsia" w:cstheme="minorEastAsia"/>
          <w:b w:val="0"/>
          <w:bCs w:val="0"/>
          <w:color w:val="auto"/>
          <w:kern w:val="0"/>
          <w:sz w:val="24"/>
          <w:szCs w:val="24"/>
          <w:highlight w:val="none"/>
        </w:rPr>
        <w:t>验收合格</w:t>
      </w:r>
      <w:r>
        <w:rPr>
          <w:rFonts w:hint="eastAsia" w:asciiTheme="minorEastAsia" w:hAnsiTheme="minorEastAsia" w:eastAsiaTheme="minorEastAsia" w:cstheme="minorEastAsia"/>
          <w:b w:val="0"/>
          <w:bCs/>
          <w:color w:val="auto"/>
          <w:sz w:val="24"/>
          <w:szCs w:val="24"/>
          <w:highlight w:val="none"/>
        </w:rPr>
        <w:t>。</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4、是否邀请供应商验收：</w:t>
      </w:r>
      <w:r>
        <w:rPr>
          <w:rFonts w:hint="eastAsia" w:asciiTheme="minorEastAsia" w:hAnsiTheme="minorEastAsia" w:eastAsiaTheme="minorEastAsia" w:cstheme="minorEastAsia"/>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验收方式</w:t>
      </w: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7412BC6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rPr>
        <w:t>经验收合格后，</w:t>
      </w: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val="0"/>
          <w:bCs w:val="0"/>
          <w:color w:val="auto"/>
          <w:sz w:val="24"/>
          <w:szCs w:val="24"/>
          <w:highlight w:val="none"/>
        </w:rPr>
        <w:t>个工作日内</w:t>
      </w:r>
      <w:r>
        <w:rPr>
          <w:rFonts w:hint="eastAsia" w:asciiTheme="minorEastAsia" w:hAnsiTheme="minorEastAsia" w:eastAsiaTheme="minorEastAsia" w:cstheme="minorEastAsia"/>
          <w:b w:val="0"/>
          <w:bCs w:val="0"/>
          <w:color w:val="auto"/>
          <w:sz w:val="24"/>
          <w:szCs w:val="24"/>
          <w:highlight w:val="none"/>
          <w:lang w:val="en-US" w:eastAsia="zh-CN"/>
        </w:rPr>
        <w:t>采购人</w:t>
      </w:r>
      <w:r>
        <w:rPr>
          <w:rFonts w:hint="eastAsia" w:asciiTheme="minorEastAsia" w:hAnsiTheme="minorEastAsia" w:eastAsiaTheme="minorEastAsia" w:cstheme="minorEastAsia"/>
          <w:b w:val="0"/>
          <w:bCs w:val="0"/>
          <w:color w:val="auto"/>
          <w:sz w:val="24"/>
          <w:szCs w:val="24"/>
          <w:highlight w:val="none"/>
        </w:rPr>
        <w:t>凭收讫货物的验收凭证和货物验收合格文件等材料以转账方式向供应商一次性支付</w:t>
      </w:r>
      <w:r>
        <w:rPr>
          <w:rFonts w:hint="eastAsia" w:asciiTheme="minorEastAsia" w:hAnsiTheme="minorEastAsia" w:eastAsiaTheme="minorEastAsia" w:cstheme="minorEastAsia"/>
          <w:b w:val="0"/>
          <w:bCs w:val="0"/>
          <w:color w:val="auto"/>
          <w:sz w:val="24"/>
          <w:szCs w:val="24"/>
          <w:highlight w:val="none"/>
          <w:lang w:val="en-US" w:eastAsia="zh-CN"/>
        </w:rPr>
        <w:t>100%</w:t>
      </w:r>
      <w:r>
        <w:rPr>
          <w:rFonts w:hint="eastAsia" w:asciiTheme="minorEastAsia" w:hAnsiTheme="minorEastAsia" w:eastAsiaTheme="minorEastAsia" w:cstheme="minorEastAsia"/>
          <w:b w:val="0"/>
          <w:bCs w:val="0"/>
          <w:color w:val="auto"/>
          <w:sz w:val="24"/>
          <w:szCs w:val="24"/>
          <w:highlight w:val="none"/>
        </w:rPr>
        <w:t>的货物价款。</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7、履约保证金：</w:t>
      </w:r>
      <w:bookmarkEnd w:id="3"/>
      <w:bookmarkEnd w:id="4"/>
      <w:bookmarkEnd w:id="5"/>
      <w:bookmarkEnd w:id="6"/>
      <w:r>
        <w:rPr>
          <w:rFonts w:hint="eastAsia" w:asciiTheme="minorEastAsia" w:hAnsiTheme="minorEastAsia" w:eastAsiaTheme="minorEastAsia" w:cstheme="minorEastAsia"/>
          <w:b w:val="0"/>
          <w:bCs w:val="0"/>
          <w:color w:val="auto"/>
          <w:kern w:val="0"/>
          <w:sz w:val="24"/>
          <w:szCs w:val="24"/>
          <w:highlight w:val="none"/>
          <w:lang w:val="en-US" w:eastAsia="zh-CN" w:bidi="ar-SA"/>
        </w:rPr>
        <w:t>不缴纳。</w:t>
      </w:r>
    </w:p>
    <w:p w14:paraId="25A831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8、包装和运输：</w:t>
      </w:r>
    </w:p>
    <w:p w14:paraId="0B446E60">
      <w:pPr>
        <w:keepNext w:val="0"/>
        <w:keepLines w:val="0"/>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包装必须与运输方式相适应，包装方式的确定及包装费用均由</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负责；由于不适当的包装而造成货物在运输过程中有任何损坏、丢失由</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负责。</w:t>
      </w:r>
    </w:p>
    <w:p w14:paraId="3F20667D">
      <w:pPr>
        <w:keepNext w:val="0"/>
        <w:keepLines w:val="0"/>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rPr>
        <w:t>专用工具及备品备件应分别包装，并在包装箱外加以注明其用处。</w:t>
      </w:r>
    </w:p>
    <w:p w14:paraId="7F56B688">
      <w:pPr>
        <w:keepNext w:val="0"/>
        <w:keepLines w:val="0"/>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rPr>
        <w:t>符合运输要求，保证货物到达目的地时完好，无毁损，包装不回收。在运输过程中造成的产品损失或损坏由</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负担。</w:t>
      </w:r>
    </w:p>
    <w:p w14:paraId="4286BCD0">
      <w:pPr>
        <w:keepNext w:val="0"/>
        <w:keepLines w:val="0"/>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8.4</w:t>
      </w:r>
      <w:r>
        <w:rPr>
          <w:rFonts w:hint="eastAsia" w:asciiTheme="minorEastAsia" w:hAnsiTheme="minorEastAsia" w:eastAsiaTheme="minorEastAsia" w:cstheme="minorEastAsia"/>
          <w:sz w:val="24"/>
          <w:szCs w:val="24"/>
        </w:rPr>
        <w:t>货物、生产、包装、仓储、运输、装卸、保险以及</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进行安装、调试、验收、培训、技术服务（包括技术资料）、保障服务等全部费用及税费均包含在本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价款中。</w:t>
      </w:r>
    </w:p>
    <w:p w14:paraId="7BA91A8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9、验收要求：</w:t>
      </w:r>
    </w:p>
    <w:p w14:paraId="2EA83260">
      <w:pPr>
        <w:keepNext w:val="0"/>
        <w:keepLines w:val="0"/>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按照</w:t>
      </w:r>
      <w:r>
        <w:rPr>
          <w:rFonts w:hint="eastAsia" w:asciiTheme="minorEastAsia" w:hAnsiTheme="minorEastAsia" w:eastAsiaTheme="minorEastAsia" w:cstheme="minorEastAsia"/>
          <w:sz w:val="24"/>
          <w:szCs w:val="24"/>
          <w:lang w:val="en-US" w:eastAsia="zh-CN"/>
        </w:rPr>
        <w:t>网上竞价文件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eastAsia="zh-CN"/>
        </w:rPr>
        <w:t>的投标或响应文件和本协议约定的服务内容及质量要求按次组织对</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eastAsia="zh-CN"/>
        </w:rPr>
        <w:t>所提供服务进行验收，并根据验收结果支付服务费用。具体如下：</w:t>
      </w:r>
    </w:p>
    <w:p w14:paraId="326D6990">
      <w:pPr>
        <w:keepNext w:val="0"/>
        <w:keepLines w:val="0"/>
        <w:pageBreakBefore w:val="0"/>
        <w:tabs>
          <w:tab w:val="left" w:pos="900"/>
          <w:tab w:val="left" w:pos="1100"/>
        </w:tabs>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lang w:eastAsia="zh-CN"/>
        </w:rPr>
        <w:t>按照</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lang w:eastAsia="zh-CN"/>
        </w:rPr>
        <w:t>约定的服务内容、服务要求和服务效果进行验收。</w:t>
      </w:r>
    </w:p>
    <w:p w14:paraId="41337484">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9.2采购人</w:t>
      </w:r>
      <w:r>
        <w:rPr>
          <w:rFonts w:hint="eastAsia" w:asciiTheme="minorEastAsia" w:hAnsiTheme="minorEastAsia" w:eastAsiaTheme="minorEastAsia" w:cstheme="minorEastAsia"/>
          <w:sz w:val="24"/>
          <w:szCs w:val="24"/>
          <w:lang w:eastAsia="zh-CN"/>
        </w:rPr>
        <w:t>在收到</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eastAsia="zh-CN"/>
        </w:rPr>
        <w:t>的验收申请后</w:t>
      </w:r>
      <w:r>
        <w:rPr>
          <w:rFonts w:hint="eastAsia" w:asciiTheme="minorEastAsia" w:hAnsiTheme="minorEastAsia" w:eastAsiaTheme="minorEastAsia" w:cstheme="minorEastAsia"/>
          <w:sz w:val="24"/>
          <w:szCs w:val="24"/>
          <w:lang w:eastAsia="zh"/>
        </w:rPr>
        <w:t>2</w:t>
      </w:r>
      <w:r>
        <w:rPr>
          <w:rFonts w:hint="eastAsia" w:asciiTheme="minorEastAsia" w:hAnsiTheme="minorEastAsia" w:eastAsiaTheme="minorEastAsia" w:cstheme="minorEastAsia"/>
          <w:sz w:val="24"/>
          <w:szCs w:val="24"/>
          <w:lang w:eastAsia="zh-CN"/>
        </w:rPr>
        <w:t>个工作日内，</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eastAsia="zh-CN"/>
        </w:rPr>
        <w:t>和</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共同进行验收。</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将按照采购</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lang w:eastAsia="zh-CN"/>
        </w:rPr>
        <w:t>规定的技术参数标准和服务要求组织对</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eastAsia="zh-CN"/>
        </w:rPr>
        <w:t>履约情况进行验收。验收结果经双方确认后，双方代表必须按规定的验收单上的项目填好验收结果并签名盖章。</w:t>
      </w:r>
    </w:p>
    <w:p w14:paraId="1C283F3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10、售后服务：</w:t>
      </w:r>
    </w:p>
    <w:p w14:paraId="666BB851">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本项目免费保修期为1年（从货到验收合格之日起算），</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在质保期内接到故障通知后24小时内响应，并在24小时内到达现场，免费负责修理或更换有缺陷的零部件或整机。质保期外重复出现质保期内出现的故障属免费保修范围。</w:t>
      </w:r>
    </w:p>
    <w:p w14:paraId="3765C680">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420" w:left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11、产权与风险转移：</w:t>
      </w:r>
    </w:p>
    <w:p w14:paraId="5EBD223D">
      <w:pPr>
        <w:keepNext w:val="0"/>
        <w:keepLines w:val="0"/>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项目的产权与风险转移遵守如下约定：</w:t>
      </w:r>
    </w:p>
    <w:p w14:paraId="076B5D0E">
      <w:pPr>
        <w:keepNext w:val="0"/>
        <w:keepLines w:val="0"/>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11.1</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kern w:val="2"/>
          <w:sz w:val="24"/>
          <w:szCs w:val="24"/>
          <w:lang w:val="en-US" w:eastAsia="zh-CN" w:bidi="ar-SA"/>
        </w:rPr>
        <w:t>交由承运人运输的在途货物，毁损、灭失的风险由</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kern w:val="2"/>
          <w:sz w:val="24"/>
          <w:szCs w:val="24"/>
          <w:lang w:val="en-US" w:eastAsia="zh-CN" w:bidi="ar-SA"/>
        </w:rPr>
        <w:t>承担。</w:t>
      </w:r>
    </w:p>
    <w:p w14:paraId="79480370">
      <w:pPr>
        <w:keepNext w:val="0"/>
        <w:keepLines w:val="0"/>
        <w:pageBreakBefore w:val="0"/>
        <w:tabs>
          <w:tab w:val="left" w:pos="0"/>
        </w:tabs>
        <w:kinsoku/>
        <w:wordWrap/>
        <w:overflowPunct/>
        <w:topLinePunct w:val="0"/>
        <w:autoSpaceDE/>
        <w:autoSpaceDN/>
        <w:bidi w:val="0"/>
        <w:adjustRightInd w:val="0"/>
        <w:snapToGrid/>
        <w:spacing w:line="40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11.2货物的产权以及损坏、灭失的风险在货物通过验收并交付使用前归属于</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kern w:val="2"/>
          <w:sz w:val="24"/>
          <w:szCs w:val="24"/>
          <w:lang w:val="en-US" w:eastAsia="zh-CN" w:bidi="ar-SA"/>
        </w:rPr>
        <w:t>，在货物通过验收并交付使用时起由</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kern w:val="2"/>
          <w:sz w:val="24"/>
          <w:szCs w:val="24"/>
          <w:lang w:val="en-US" w:eastAsia="zh-CN" w:bidi="ar-SA"/>
        </w:rPr>
        <w:t>转移至采购人。</w:t>
      </w:r>
    </w:p>
    <w:p w14:paraId="7E77D29F">
      <w:pPr>
        <w:keepNext w:val="0"/>
        <w:keepLines w:val="0"/>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2"/>
          <w:sz w:val="24"/>
          <w:szCs w:val="24"/>
          <w:lang w:val="en-US" w:eastAsia="zh-CN" w:bidi="ar-SA"/>
        </w:rPr>
        <w:t>11.3产权和风险的转移，不影响因</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kern w:val="2"/>
          <w:sz w:val="24"/>
          <w:szCs w:val="24"/>
          <w:lang w:val="en-US" w:eastAsia="zh-CN" w:bidi="ar-SA"/>
        </w:rPr>
        <w:t>履行义务不符合约定，采购人要求其承担违约责任的权利。</w:t>
      </w:r>
    </w:p>
    <w:p w14:paraId="04C247C2">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12、违约责任</w:t>
      </w:r>
      <w:r>
        <w:rPr>
          <w:rFonts w:hint="eastAsia" w:asciiTheme="minorEastAsia" w:hAnsiTheme="minorEastAsia" w:eastAsiaTheme="minorEastAsia" w:cstheme="minorEastAsia"/>
          <w:b/>
          <w:sz w:val="24"/>
          <w:szCs w:val="24"/>
        </w:rPr>
        <w:t>：</w:t>
      </w:r>
    </w:p>
    <w:p w14:paraId="45308916">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除不可抗力因素外，如果</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color w:val="auto"/>
          <w:sz w:val="24"/>
          <w:szCs w:val="24"/>
          <w:lang w:eastAsia="zh-CN"/>
        </w:rPr>
        <w:t>不能按照</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eastAsia="zh-CN"/>
        </w:rPr>
        <w:t>规定的时间交付和提供服务，应及时以书面形式将逾期的事实、可能逾期的时间和原因通知采购人。采购人收到</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color w:val="auto"/>
          <w:sz w:val="24"/>
          <w:szCs w:val="24"/>
          <w:lang w:eastAsia="zh-CN"/>
        </w:rPr>
        <w:t>通知后，将尽快作出评价，决定是否同意延长交货期及收取逾期赔偿费，逾期赔偿费的金额为采购人所遭受的所有损失。采购人在不影响</w:t>
      </w:r>
      <w:r>
        <w:rPr>
          <w:rFonts w:hint="eastAsia" w:asciiTheme="minorEastAsia" w:hAnsiTheme="minorEastAsia" w:eastAsiaTheme="minorEastAsia" w:cstheme="minorEastAsia"/>
          <w:color w:val="auto"/>
          <w:sz w:val="24"/>
          <w:szCs w:val="24"/>
          <w:lang w:val="en-US" w:eastAsia="zh-CN"/>
        </w:rPr>
        <w:t>项目要求</w:t>
      </w:r>
      <w:r>
        <w:rPr>
          <w:rFonts w:hint="eastAsia" w:asciiTheme="minorEastAsia" w:hAnsiTheme="minorEastAsia" w:eastAsiaTheme="minorEastAsia" w:cstheme="minorEastAsia"/>
          <w:color w:val="auto"/>
          <w:sz w:val="24"/>
          <w:szCs w:val="24"/>
          <w:lang w:eastAsia="zh-CN"/>
        </w:rPr>
        <w:t>的其它补救措施情况下，可从</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eastAsia="zh-CN"/>
        </w:rPr>
        <w:t>未付款中扣除逾期违约金，违约金按未交付货物价款的</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％/天计算，逾期期限一旦达到</w:t>
      </w:r>
      <w:r>
        <w:rPr>
          <w:rFonts w:hint="eastAsia" w:asciiTheme="minorEastAsia" w:hAnsiTheme="minorEastAsia" w:eastAsiaTheme="minorEastAsia" w:cstheme="minorEastAsia"/>
          <w:color w:val="auto"/>
          <w:sz w:val="24"/>
          <w:szCs w:val="24"/>
          <w:lang w:val="en-US" w:eastAsia="zh-CN"/>
        </w:rPr>
        <w:t>30日</w:t>
      </w:r>
      <w:r>
        <w:rPr>
          <w:rFonts w:hint="eastAsia" w:asciiTheme="minorEastAsia" w:hAnsiTheme="minorEastAsia" w:eastAsiaTheme="minorEastAsia" w:cstheme="minorEastAsia"/>
          <w:color w:val="auto"/>
          <w:sz w:val="24"/>
          <w:szCs w:val="24"/>
          <w:lang w:eastAsia="zh-CN"/>
        </w:rPr>
        <w:t>，采购人有权</w:t>
      </w:r>
      <w:r>
        <w:rPr>
          <w:rFonts w:hint="eastAsia" w:asciiTheme="minorEastAsia" w:hAnsiTheme="minorEastAsia" w:eastAsiaTheme="minorEastAsia" w:cstheme="minorEastAsia"/>
          <w:color w:val="auto"/>
          <w:sz w:val="24"/>
          <w:szCs w:val="24"/>
          <w:lang w:val="en-US" w:eastAsia="zh-CN"/>
        </w:rPr>
        <w:t>作废项目</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color w:val="auto"/>
          <w:sz w:val="24"/>
          <w:szCs w:val="24"/>
          <w:lang w:eastAsia="zh-CN"/>
        </w:rPr>
        <w:t>仍应按约定支付违约金。违约金的支付不影响采购人向</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color w:val="auto"/>
          <w:sz w:val="24"/>
          <w:szCs w:val="24"/>
          <w:lang w:eastAsia="zh-CN"/>
        </w:rPr>
        <w:t>要求损害赔偿。</w:t>
      </w:r>
    </w:p>
    <w:p w14:paraId="7DA27F9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13、争议解决</w:t>
      </w:r>
      <w:r>
        <w:rPr>
          <w:rFonts w:hint="eastAsia" w:asciiTheme="minorEastAsia" w:hAnsiTheme="minorEastAsia" w:eastAsiaTheme="minorEastAsia" w:cstheme="minorEastAsia"/>
          <w:b/>
          <w:color w:val="auto"/>
          <w:sz w:val="24"/>
          <w:szCs w:val="24"/>
          <w:lang w:eastAsia="zh-CN"/>
        </w:rPr>
        <w:t>：</w:t>
      </w:r>
    </w:p>
    <w:p w14:paraId="148C3FF3">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13.1</w:t>
      </w:r>
      <w:r>
        <w:rPr>
          <w:rFonts w:hint="eastAsia" w:asciiTheme="minorEastAsia" w:hAnsiTheme="minorEastAsia" w:eastAsiaTheme="minorEastAsia" w:cstheme="minorEastAsia"/>
          <w:color w:val="auto"/>
          <w:sz w:val="24"/>
          <w:szCs w:val="24"/>
        </w:rPr>
        <w:t>因本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或与本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有关的一切事项发生争议，</w:t>
      </w:r>
      <w:r>
        <w:rPr>
          <w:rFonts w:hint="eastAsia" w:asciiTheme="minorEastAsia" w:hAnsiTheme="minorEastAsia" w:eastAsiaTheme="minorEastAsia" w:cstheme="minorEastAsia"/>
          <w:color w:val="auto"/>
          <w:sz w:val="24"/>
          <w:szCs w:val="24"/>
          <w:lang w:eastAsia="zh-CN"/>
        </w:rPr>
        <w:t>采购人、成交供应商双方协商解决。</w:t>
      </w:r>
    </w:p>
    <w:p w14:paraId="1889B0AB">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13.2</w:t>
      </w:r>
      <w:r>
        <w:rPr>
          <w:rFonts w:hint="eastAsia" w:asciiTheme="minorEastAsia" w:hAnsiTheme="minorEastAsia" w:eastAsiaTheme="minorEastAsia" w:cstheme="minorEastAsia"/>
          <w:color w:val="auto"/>
          <w:sz w:val="24"/>
          <w:szCs w:val="24"/>
          <w:lang w:eastAsia="zh-CN"/>
        </w:rPr>
        <w:t>若协商解决不成，则通过下列途径解决：</w:t>
      </w:r>
    </w:p>
    <w:p w14:paraId="6B4BF56F">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向人民法院提起诉讼，具体如下：向采购人所在地有管辖权的人民法院提起诉讼。</w:t>
      </w:r>
    </w:p>
    <w:p w14:paraId="26E81238">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kern w:val="0"/>
          <w:sz w:val="24"/>
          <w:szCs w:val="24"/>
          <w:lang w:val="en-US" w:eastAsia="zh-CN" w:bidi="ar-SA"/>
        </w:rPr>
        <w:t>14、</w:t>
      </w:r>
      <w:r>
        <w:rPr>
          <w:rFonts w:hint="eastAsia" w:asciiTheme="minorEastAsia" w:hAnsiTheme="minorEastAsia" w:eastAsiaTheme="minorEastAsia" w:cstheme="minorEastAsia"/>
          <w:b/>
          <w:bCs/>
          <w:color w:val="auto"/>
          <w:sz w:val="24"/>
          <w:szCs w:val="24"/>
        </w:rPr>
        <w:t>其他事项</w:t>
      </w:r>
      <w:r>
        <w:rPr>
          <w:rFonts w:hint="eastAsia" w:asciiTheme="minorEastAsia" w:hAnsiTheme="minorEastAsia" w:eastAsiaTheme="minorEastAsia" w:cstheme="minorEastAsia"/>
          <w:b/>
          <w:bCs/>
          <w:color w:val="auto"/>
          <w:sz w:val="24"/>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14.1供应商成交后，不得以任何理由将本项目分包、转包给第</w:t>
      </w:r>
      <w:r>
        <w:rPr>
          <w:rFonts w:hint="eastAsia" w:asciiTheme="minorEastAsia" w:hAnsiTheme="minorEastAsia" w:eastAsiaTheme="minorEastAsia" w:cstheme="minorEastAsia"/>
          <w:b w:val="0"/>
          <w:bCs w:val="0"/>
          <w:sz w:val="24"/>
          <w:szCs w:val="24"/>
          <w:lang w:val="en-US" w:eastAsia="zh-CN"/>
        </w:rPr>
        <w:t>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14.2若出现有关法律、法规和规章有强制性规定但网上竞价文件未列明的情形，则供应商应按照有关法律、法规和规章强制性规定执行。</w:t>
      </w:r>
    </w:p>
    <w:p w14:paraId="31B41898">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14.3本竞价文件未明确的其他约定事项或条款，待采购人与成交供应商签订合同时，由双方协商订立。</w:t>
      </w:r>
      <w:r>
        <w:rPr>
          <w:rFonts w:hint="eastAsia" w:asciiTheme="minorEastAsia" w:hAnsiTheme="minorEastAsia" w:eastAsiaTheme="minorEastAsia" w:cstheme="minorEastAsia"/>
          <w:sz w:val="24"/>
          <w:szCs w:val="24"/>
          <w:lang w:eastAsia="zh-CN"/>
        </w:rPr>
        <w:t>合同条款应与本采购需求文件内容保持一致。如本采购需求文件与合同条款存在冲突，以合同条款为准（但合同条款不得违背本采购需求文件的实质性内容）。</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sz w:val="24"/>
          <w:szCs w:val="24"/>
          <w:lang w:val="en-US" w:eastAsia="zh-CN"/>
        </w:rPr>
        <w:t>14.4供应商不得存在虚假应标谋取中标等行为，一经发现将取消其成交资格，并对其追究相关法律责任。若第一成交候选人因不可抗力或自身原因提出不能履行合同，采购人可以重</w:t>
      </w:r>
      <w:r>
        <w:rPr>
          <w:rFonts w:hint="eastAsia" w:asciiTheme="minorEastAsia" w:hAnsiTheme="minorEastAsia" w:eastAsiaTheme="minorEastAsia" w:cstheme="minorEastAsia"/>
          <w:b w:val="0"/>
          <w:bCs w:val="0"/>
          <w:color w:val="auto"/>
          <w:sz w:val="24"/>
          <w:szCs w:val="24"/>
          <w:lang w:val="en-US" w:eastAsia="zh-CN"/>
        </w:rPr>
        <w:t>新招标。</w:t>
      </w:r>
    </w:p>
    <w:p w14:paraId="6AFE36A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14.5</w:t>
      </w:r>
      <w:r>
        <w:rPr>
          <w:rFonts w:hint="eastAsia" w:asciiTheme="minorEastAsia" w:hAnsiTheme="minorEastAsia" w:eastAsiaTheme="minorEastAsia" w:cstheme="minorEastAsia"/>
          <w:color w:val="auto"/>
          <w:sz w:val="24"/>
          <w:szCs w:val="24"/>
          <w:highlight w:val="none"/>
          <w:lang w:eastAsia="zh-CN"/>
        </w:rPr>
        <w:t>供应商若需进行现场勘察的应在本项目公告发布后第二个工作日上午9:00至11：00时自行联系现场勘查人员，到达现场并对现场进行实地勘察，踏勘费用自理。现场勘察联系人：郑其杰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联系电话：13375002701。</w:t>
      </w:r>
    </w:p>
    <w:p w14:paraId="42B834EF">
      <w:pPr>
        <w:pStyle w:val="20"/>
        <w:rPr>
          <w:rFonts w:hint="eastAsia"/>
          <w:lang w:eastAsia="zh-CN"/>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676"/>
        <w:gridCol w:w="1785"/>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货物名称</w:t>
            </w:r>
          </w:p>
        </w:tc>
        <w:tc>
          <w:tcPr>
            <w:tcW w:w="1676"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785"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p>
        </w:tc>
        <w:tc>
          <w:tcPr>
            <w:tcW w:w="1676" w:type="dxa"/>
            <w:vAlign w:val="center"/>
          </w:tcPr>
          <w:p w14:paraId="03E2BE46">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785"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676" w:type="dxa"/>
            <w:vAlign w:val="center"/>
          </w:tcPr>
          <w:p w14:paraId="138BAC3E">
            <w:pPr>
              <w:spacing w:line="360" w:lineRule="auto"/>
              <w:jc w:val="center"/>
              <w:rPr>
                <w:rFonts w:ascii="宋体" w:hAnsi="宋体" w:cs="宋体"/>
                <w:color w:val="auto"/>
                <w:sz w:val="24"/>
                <w:highlight w:val="none"/>
              </w:rPr>
            </w:pPr>
          </w:p>
        </w:tc>
        <w:tc>
          <w:tcPr>
            <w:tcW w:w="1785"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46"/>
        <w:gridCol w:w="1901"/>
        <w:gridCol w:w="1263"/>
        <w:gridCol w:w="2078"/>
        <w:gridCol w:w="2221"/>
      </w:tblGrid>
      <w:tr w14:paraId="578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8"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6"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01"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s="宋体"/>
                <w:color w:val="auto"/>
                <w:sz w:val="24"/>
                <w:szCs w:val="24"/>
                <w:lang w:val="en-US" w:eastAsia="zh-CN"/>
              </w:rPr>
              <w:t>项目名称</w:t>
            </w:r>
          </w:p>
        </w:tc>
        <w:tc>
          <w:tcPr>
            <w:tcW w:w="1263"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78"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21" w:type="dxa"/>
            <w:vAlign w:val="center"/>
          </w:tcPr>
          <w:p w14:paraId="372C4D38">
            <w:pPr>
              <w:pStyle w:val="9"/>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432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jc w:val="center"/>
        </w:trPr>
        <w:tc>
          <w:tcPr>
            <w:tcW w:w="968"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01" w:type="dxa"/>
            <w:vAlign w:val="center"/>
          </w:tcPr>
          <w:p w14:paraId="62261F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1263" w:type="dxa"/>
            <w:vAlign w:val="center"/>
          </w:tcPr>
          <w:p w14:paraId="205748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2078" w:type="dxa"/>
            <w:vAlign w:val="center"/>
          </w:tcPr>
          <w:p w14:paraId="5F9E2280">
            <w:pPr>
              <w:snapToGrid w:val="0"/>
              <w:spacing w:line="240" w:lineRule="auto"/>
              <w:jc w:val="center"/>
              <w:rPr>
                <w:rFonts w:ascii="宋体" w:hAnsi="宋体" w:cs="宋体"/>
                <w:color w:val="auto"/>
                <w:kern w:val="0"/>
                <w:sz w:val="24"/>
                <w:highlight w:val="none"/>
              </w:rPr>
            </w:pPr>
          </w:p>
        </w:tc>
        <w:tc>
          <w:tcPr>
            <w:tcW w:w="2221" w:type="dxa"/>
            <w:vAlign w:val="center"/>
          </w:tcPr>
          <w:p w14:paraId="4DFD41D2">
            <w:pPr>
              <w:widowControl/>
              <w:spacing w:line="240" w:lineRule="auto"/>
              <w:jc w:val="left"/>
              <w:rPr>
                <w:rFonts w:ascii="宋体" w:hAnsi="宋体"/>
                <w:color w:val="auto"/>
                <w:sz w:val="24"/>
                <w:highlight w:val="none"/>
              </w:rPr>
            </w:pPr>
          </w:p>
        </w:tc>
      </w:tr>
    </w:tbl>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204FFED">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2911"/>
        <w:gridCol w:w="1410"/>
        <w:gridCol w:w="1139"/>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2911"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410"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139"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2911"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1410"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1F4772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1BB2F9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62C8AB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3FC47C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5785303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443D7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6657AD5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7B89883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21130E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2A70E38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1D6CDB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0A379B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5B1349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3FC3634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15B0F29">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78C0D9B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7EFB7C7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404B51F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EAC094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7A9ED8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08D6D76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6E6E1D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14A22C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08FA6A9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567A95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19E2209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5E573D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07C4C8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13F38C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2A84499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47FE52D5">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784ED7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71FBEA3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0B65058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67D37D4">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2911" w:type="dxa"/>
            <w:vAlign w:val="center"/>
          </w:tcPr>
          <w:p w14:paraId="620B5C1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410" w:type="dxa"/>
            <w:shd w:val="clear" w:color="auto" w:fill="auto"/>
            <w:vAlign w:val="center"/>
          </w:tcPr>
          <w:p w14:paraId="1FE481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139" w:type="dxa"/>
            <w:shd w:val="clear" w:color="auto" w:fill="auto"/>
            <w:vAlign w:val="center"/>
          </w:tcPr>
          <w:p w14:paraId="577356A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A4E3D4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1A66F158">
      <w:pPr>
        <w:pStyle w:val="20"/>
        <w:rPr>
          <w:rFonts w:hint="eastAsi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5017C52"/>
    <w:rsid w:val="056025B0"/>
    <w:rsid w:val="057A17B3"/>
    <w:rsid w:val="05B64224"/>
    <w:rsid w:val="06020D60"/>
    <w:rsid w:val="061C715B"/>
    <w:rsid w:val="0696261C"/>
    <w:rsid w:val="07702EBF"/>
    <w:rsid w:val="07846919"/>
    <w:rsid w:val="08293E73"/>
    <w:rsid w:val="08A00C2F"/>
    <w:rsid w:val="09A06EBC"/>
    <w:rsid w:val="0A482682"/>
    <w:rsid w:val="0AF75143"/>
    <w:rsid w:val="0B043CFB"/>
    <w:rsid w:val="0C4C5754"/>
    <w:rsid w:val="0CA2647A"/>
    <w:rsid w:val="0CBB2DDD"/>
    <w:rsid w:val="0D2167C4"/>
    <w:rsid w:val="0D2D3085"/>
    <w:rsid w:val="0D4241A8"/>
    <w:rsid w:val="0DAA7832"/>
    <w:rsid w:val="0DD34156"/>
    <w:rsid w:val="0DD979BE"/>
    <w:rsid w:val="0DEB14A0"/>
    <w:rsid w:val="0E0D1416"/>
    <w:rsid w:val="0F7B6853"/>
    <w:rsid w:val="0FBD7DE5"/>
    <w:rsid w:val="10362DC0"/>
    <w:rsid w:val="10CE3388"/>
    <w:rsid w:val="10E42CCD"/>
    <w:rsid w:val="11790FDD"/>
    <w:rsid w:val="11AD4ADB"/>
    <w:rsid w:val="12210BBB"/>
    <w:rsid w:val="126445BB"/>
    <w:rsid w:val="134E3CC3"/>
    <w:rsid w:val="13ED41C3"/>
    <w:rsid w:val="13F649A0"/>
    <w:rsid w:val="149A3D57"/>
    <w:rsid w:val="14DD66A2"/>
    <w:rsid w:val="15512530"/>
    <w:rsid w:val="15EB52EB"/>
    <w:rsid w:val="164556E1"/>
    <w:rsid w:val="16810234"/>
    <w:rsid w:val="17254BB9"/>
    <w:rsid w:val="175D4ED0"/>
    <w:rsid w:val="17A728DB"/>
    <w:rsid w:val="18D25B4A"/>
    <w:rsid w:val="19121A44"/>
    <w:rsid w:val="192817FA"/>
    <w:rsid w:val="199476C8"/>
    <w:rsid w:val="19C44ADF"/>
    <w:rsid w:val="19F043F2"/>
    <w:rsid w:val="1A0F193E"/>
    <w:rsid w:val="1A512FD2"/>
    <w:rsid w:val="1A8645F0"/>
    <w:rsid w:val="1AA3690C"/>
    <w:rsid w:val="1AC71843"/>
    <w:rsid w:val="1AD364FF"/>
    <w:rsid w:val="1ADE3486"/>
    <w:rsid w:val="1B08700D"/>
    <w:rsid w:val="1B261D69"/>
    <w:rsid w:val="1B6C00C4"/>
    <w:rsid w:val="1BF43CB2"/>
    <w:rsid w:val="1C7178DF"/>
    <w:rsid w:val="1C7D1E5D"/>
    <w:rsid w:val="1CD34D8F"/>
    <w:rsid w:val="1D340214"/>
    <w:rsid w:val="1DAA6E61"/>
    <w:rsid w:val="1E0F3C2B"/>
    <w:rsid w:val="1E2C09AB"/>
    <w:rsid w:val="1E897F61"/>
    <w:rsid w:val="1F1C42EA"/>
    <w:rsid w:val="1F686EFF"/>
    <w:rsid w:val="1FB366B0"/>
    <w:rsid w:val="203C5B8B"/>
    <w:rsid w:val="204A0558"/>
    <w:rsid w:val="21150CB8"/>
    <w:rsid w:val="213B2764"/>
    <w:rsid w:val="21657A51"/>
    <w:rsid w:val="231A63AE"/>
    <w:rsid w:val="23B73EA6"/>
    <w:rsid w:val="23F4427C"/>
    <w:rsid w:val="25333A88"/>
    <w:rsid w:val="25776FB2"/>
    <w:rsid w:val="26B047DC"/>
    <w:rsid w:val="26BD4622"/>
    <w:rsid w:val="26C54B2C"/>
    <w:rsid w:val="27BC5F2F"/>
    <w:rsid w:val="27C42B43"/>
    <w:rsid w:val="28C13F2B"/>
    <w:rsid w:val="298465B1"/>
    <w:rsid w:val="29994BB0"/>
    <w:rsid w:val="29B669AE"/>
    <w:rsid w:val="29FE1773"/>
    <w:rsid w:val="2A604980"/>
    <w:rsid w:val="2A727AC6"/>
    <w:rsid w:val="2B5318E1"/>
    <w:rsid w:val="2BCE7FDF"/>
    <w:rsid w:val="2CAA15DF"/>
    <w:rsid w:val="2CC80594"/>
    <w:rsid w:val="2D484F7D"/>
    <w:rsid w:val="2DDE2D69"/>
    <w:rsid w:val="2EBE2586"/>
    <w:rsid w:val="2ECC1930"/>
    <w:rsid w:val="2F07679A"/>
    <w:rsid w:val="2F4F4B8D"/>
    <w:rsid w:val="2FDF2A95"/>
    <w:rsid w:val="312D39F9"/>
    <w:rsid w:val="31A664BD"/>
    <w:rsid w:val="31B67ACD"/>
    <w:rsid w:val="334D7ECB"/>
    <w:rsid w:val="33627509"/>
    <w:rsid w:val="336F02F9"/>
    <w:rsid w:val="33F45566"/>
    <w:rsid w:val="34160775"/>
    <w:rsid w:val="3444677B"/>
    <w:rsid w:val="3503072C"/>
    <w:rsid w:val="356F257B"/>
    <w:rsid w:val="35786F8C"/>
    <w:rsid w:val="35814314"/>
    <w:rsid w:val="35E30AE8"/>
    <w:rsid w:val="36F5483C"/>
    <w:rsid w:val="375B2943"/>
    <w:rsid w:val="37C01392"/>
    <w:rsid w:val="389425B0"/>
    <w:rsid w:val="398879CF"/>
    <w:rsid w:val="3A0E0140"/>
    <w:rsid w:val="3A9D764F"/>
    <w:rsid w:val="3ACB1E7C"/>
    <w:rsid w:val="3AD34126"/>
    <w:rsid w:val="3C65673D"/>
    <w:rsid w:val="3CE851D3"/>
    <w:rsid w:val="3CEF24AB"/>
    <w:rsid w:val="3D035E9B"/>
    <w:rsid w:val="3D4B1754"/>
    <w:rsid w:val="3D50551B"/>
    <w:rsid w:val="3D6C7658"/>
    <w:rsid w:val="3DC2628F"/>
    <w:rsid w:val="3DD60AE2"/>
    <w:rsid w:val="3E5C0069"/>
    <w:rsid w:val="3E7A2DAA"/>
    <w:rsid w:val="3E8B1175"/>
    <w:rsid w:val="3EC82FB3"/>
    <w:rsid w:val="3F9E5AC2"/>
    <w:rsid w:val="3FAC28BB"/>
    <w:rsid w:val="3FB97B2C"/>
    <w:rsid w:val="40181D19"/>
    <w:rsid w:val="40BD676E"/>
    <w:rsid w:val="40DB643C"/>
    <w:rsid w:val="417E75E8"/>
    <w:rsid w:val="41910115"/>
    <w:rsid w:val="41D908F9"/>
    <w:rsid w:val="42412A9E"/>
    <w:rsid w:val="438B3EDE"/>
    <w:rsid w:val="4495014D"/>
    <w:rsid w:val="44AD0C2A"/>
    <w:rsid w:val="44C61B6C"/>
    <w:rsid w:val="44F31851"/>
    <w:rsid w:val="45AA573E"/>
    <w:rsid w:val="45B275F5"/>
    <w:rsid w:val="46340009"/>
    <w:rsid w:val="463B2A6B"/>
    <w:rsid w:val="46BC33FE"/>
    <w:rsid w:val="46EE7477"/>
    <w:rsid w:val="474E7DCE"/>
    <w:rsid w:val="47BC0C07"/>
    <w:rsid w:val="47E210AF"/>
    <w:rsid w:val="482C010F"/>
    <w:rsid w:val="489259CA"/>
    <w:rsid w:val="498B3956"/>
    <w:rsid w:val="49AA1C33"/>
    <w:rsid w:val="49EC54BB"/>
    <w:rsid w:val="4A464705"/>
    <w:rsid w:val="4AD5737D"/>
    <w:rsid w:val="4AF94EF9"/>
    <w:rsid w:val="4B230EF3"/>
    <w:rsid w:val="4BB0030E"/>
    <w:rsid w:val="4BC53306"/>
    <w:rsid w:val="4C15710C"/>
    <w:rsid w:val="4C2E5FB6"/>
    <w:rsid w:val="4C3B5575"/>
    <w:rsid w:val="4C63431C"/>
    <w:rsid w:val="4C9444D5"/>
    <w:rsid w:val="4CE2174D"/>
    <w:rsid w:val="4D263E11"/>
    <w:rsid w:val="4D505935"/>
    <w:rsid w:val="4D72372E"/>
    <w:rsid w:val="4E141911"/>
    <w:rsid w:val="4E370E84"/>
    <w:rsid w:val="4EBB778D"/>
    <w:rsid w:val="4F7C19ED"/>
    <w:rsid w:val="4FB142EA"/>
    <w:rsid w:val="50267FF1"/>
    <w:rsid w:val="506863A4"/>
    <w:rsid w:val="508F27C5"/>
    <w:rsid w:val="50F55D99"/>
    <w:rsid w:val="513814F5"/>
    <w:rsid w:val="513B5867"/>
    <w:rsid w:val="51497716"/>
    <w:rsid w:val="51A30093"/>
    <w:rsid w:val="520457CB"/>
    <w:rsid w:val="52124454"/>
    <w:rsid w:val="522C2C59"/>
    <w:rsid w:val="539774E2"/>
    <w:rsid w:val="53C953AC"/>
    <w:rsid w:val="541A03F5"/>
    <w:rsid w:val="54C5216A"/>
    <w:rsid w:val="54D577A2"/>
    <w:rsid w:val="55357439"/>
    <w:rsid w:val="56D22266"/>
    <w:rsid w:val="57286DB3"/>
    <w:rsid w:val="57315742"/>
    <w:rsid w:val="58274189"/>
    <w:rsid w:val="589A572D"/>
    <w:rsid w:val="589B7196"/>
    <w:rsid w:val="58C92DB8"/>
    <w:rsid w:val="590271D1"/>
    <w:rsid w:val="594608FB"/>
    <w:rsid w:val="59AF6DF2"/>
    <w:rsid w:val="5A063221"/>
    <w:rsid w:val="5A2C4216"/>
    <w:rsid w:val="5A3433AD"/>
    <w:rsid w:val="5A550A07"/>
    <w:rsid w:val="5B3931A0"/>
    <w:rsid w:val="5B4842CE"/>
    <w:rsid w:val="5B761B8D"/>
    <w:rsid w:val="5BC000BF"/>
    <w:rsid w:val="5C5E2DC5"/>
    <w:rsid w:val="5D01514B"/>
    <w:rsid w:val="5D89636D"/>
    <w:rsid w:val="5DBA0782"/>
    <w:rsid w:val="5EFD1A12"/>
    <w:rsid w:val="5F2D396D"/>
    <w:rsid w:val="5FE90AAC"/>
    <w:rsid w:val="60A52CFD"/>
    <w:rsid w:val="60D04179"/>
    <w:rsid w:val="60E47381"/>
    <w:rsid w:val="6118669B"/>
    <w:rsid w:val="61C7729B"/>
    <w:rsid w:val="62641034"/>
    <w:rsid w:val="63473BF7"/>
    <w:rsid w:val="635A2C28"/>
    <w:rsid w:val="6374691F"/>
    <w:rsid w:val="63BA7B71"/>
    <w:rsid w:val="63BC0257"/>
    <w:rsid w:val="643B2EFE"/>
    <w:rsid w:val="644665A5"/>
    <w:rsid w:val="64644411"/>
    <w:rsid w:val="65005919"/>
    <w:rsid w:val="6536434F"/>
    <w:rsid w:val="66157FDD"/>
    <w:rsid w:val="665A019F"/>
    <w:rsid w:val="6672068F"/>
    <w:rsid w:val="66AD46B9"/>
    <w:rsid w:val="670C6B88"/>
    <w:rsid w:val="67BF44A6"/>
    <w:rsid w:val="67E6633A"/>
    <w:rsid w:val="68975621"/>
    <w:rsid w:val="689F61CC"/>
    <w:rsid w:val="68AC5DD9"/>
    <w:rsid w:val="68C926A3"/>
    <w:rsid w:val="692857E0"/>
    <w:rsid w:val="69935D1A"/>
    <w:rsid w:val="69E70454"/>
    <w:rsid w:val="6A6C5C24"/>
    <w:rsid w:val="6A832AFB"/>
    <w:rsid w:val="6B5E6742"/>
    <w:rsid w:val="6C69230B"/>
    <w:rsid w:val="6CD40DBF"/>
    <w:rsid w:val="6D0D24E0"/>
    <w:rsid w:val="6DA050EC"/>
    <w:rsid w:val="6DFD21E5"/>
    <w:rsid w:val="6E0440FB"/>
    <w:rsid w:val="6ED44ED9"/>
    <w:rsid w:val="6FCF0E93"/>
    <w:rsid w:val="6FD05F3F"/>
    <w:rsid w:val="70224F00"/>
    <w:rsid w:val="703B20B6"/>
    <w:rsid w:val="724A1DFC"/>
    <w:rsid w:val="72845AC6"/>
    <w:rsid w:val="72916AD9"/>
    <w:rsid w:val="72F8490A"/>
    <w:rsid w:val="73D239B1"/>
    <w:rsid w:val="73ED08CD"/>
    <w:rsid w:val="73F676A0"/>
    <w:rsid w:val="73F81D9D"/>
    <w:rsid w:val="74120755"/>
    <w:rsid w:val="745C662B"/>
    <w:rsid w:val="747F2240"/>
    <w:rsid w:val="74B308B5"/>
    <w:rsid w:val="75247769"/>
    <w:rsid w:val="75313CDE"/>
    <w:rsid w:val="753F0E71"/>
    <w:rsid w:val="75645785"/>
    <w:rsid w:val="75716A92"/>
    <w:rsid w:val="758D2516"/>
    <w:rsid w:val="7599235F"/>
    <w:rsid w:val="75997919"/>
    <w:rsid w:val="75AE2AF5"/>
    <w:rsid w:val="75BD7F3E"/>
    <w:rsid w:val="7858402F"/>
    <w:rsid w:val="78D50787"/>
    <w:rsid w:val="794A53F5"/>
    <w:rsid w:val="79A30EAB"/>
    <w:rsid w:val="79B17807"/>
    <w:rsid w:val="79FE2EB5"/>
    <w:rsid w:val="7A1940E8"/>
    <w:rsid w:val="7AE26EA4"/>
    <w:rsid w:val="7B8F04A8"/>
    <w:rsid w:val="7BBB4D2B"/>
    <w:rsid w:val="7C95557C"/>
    <w:rsid w:val="7CA44918"/>
    <w:rsid w:val="7D3A4490"/>
    <w:rsid w:val="7D3F0A9F"/>
    <w:rsid w:val="7D857A0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NormalIndent"/>
    <w:basedOn w:val="1"/>
    <w:next w:val="40"/>
    <w:autoRedefine/>
    <w:qFormat/>
    <w:uiPriority w:val="0"/>
    <w:pPr>
      <w:ind w:firstLine="420"/>
    </w:pPr>
    <w:rPr>
      <w:szCs w:val="20"/>
    </w:rPr>
  </w:style>
  <w:style w:type="paragraph" w:customStyle="1" w:styleId="40">
    <w:name w:val="BodyTextIndent"/>
    <w:basedOn w:val="1"/>
    <w:next w:val="39"/>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11120</Words>
  <Characters>12051</Characters>
  <Lines>186</Lines>
  <Paragraphs>52</Paragraphs>
  <TotalTime>4</TotalTime>
  <ScaleCrop>false</ScaleCrop>
  <LinksUpToDate>false</LinksUpToDate>
  <CharactersWithSpaces>12779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2025-10-29T03:31:12Z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B544B3309180D50974C0C768C954EF80_43</vt:lpwstr>
  </property>
  <property fmtid="{D5CDD505-2E9C-101B-9397-08002B2CF9AE}" pid="4" name="KSOTemplateDocerSaveRecord">
    <vt:lpwstr>eyJoZGlkIjoiMzNlMTg1ZmRhMjJhMzI1NTNjZGIzMDVkMDhlZjg2ZmMiLCJ1c2VySWQiOiI2MTM2Nzk1NDkifQ==</vt:lpwstr>
  </property>
</Properties>
</file>