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9"/>
        <w:spacing w:line="0" w:lineRule="atLeast"/>
        <w:rPr>
          <w:rFonts w:hAnsi="宋体"/>
          <w:b/>
          <w:color w:val="auto"/>
          <w:sz w:val="32"/>
          <w:highlight w:val="none"/>
        </w:rPr>
      </w:pPr>
    </w:p>
    <w:p w14:paraId="6CBF94AB">
      <w:pPr>
        <w:pStyle w:val="9"/>
        <w:spacing w:line="0" w:lineRule="atLeast"/>
        <w:jc w:val="center"/>
        <w:rPr>
          <w:rFonts w:hAnsi="宋体"/>
          <w:b/>
          <w:color w:val="auto"/>
          <w:sz w:val="36"/>
          <w:highlight w:val="none"/>
        </w:rPr>
      </w:pPr>
    </w:p>
    <w:p w14:paraId="0DC222AE">
      <w:pPr>
        <w:pStyle w:val="9"/>
        <w:spacing w:line="0" w:lineRule="atLeast"/>
        <w:jc w:val="both"/>
        <w:rPr>
          <w:rFonts w:hAnsi="宋体"/>
          <w:b/>
          <w:color w:val="auto"/>
          <w:sz w:val="36"/>
          <w:highlight w:val="none"/>
        </w:rPr>
      </w:pPr>
    </w:p>
    <w:p w14:paraId="0DD67B47">
      <w:pPr>
        <w:pStyle w:val="9"/>
        <w:spacing w:line="0" w:lineRule="atLeast"/>
        <w:jc w:val="both"/>
        <w:rPr>
          <w:rFonts w:hAnsi="宋体"/>
          <w:b/>
          <w:color w:val="auto"/>
          <w:sz w:val="36"/>
          <w:highlight w:val="none"/>
        </w:rPr>
      </w:pPr>
    </w:p>
    <w:p w14:paraId="7F3ECCF0">
      <w:pPr>
        <w:pStyle w:val="9"/>
        <w:spacing w:line="0" w:lineRule="atLeast"/>
        <w:jc w:val="both"/>
        <w:rPr>
          <w:rFonts w:hAnsi="宋体"/>
          <w:b/>
          <w:color w:val="auto"/>
          <w:sz w:val="36"/>
          <w:highlight w:val="none"/>
        </w:rPr>
      </w:pPr>
    </w:p>
    <w:p w14:paraId="65572771">
      <w:pPr>
        <w:pStyle w:val="9"/>
        <w:spacing w:line="400" w:lineRule="exact"/>
        <w:rPr>
          <w:rFonts w:hAnsi="宋体"/>
          <w:b/>
          <w:color w:val="auto"/>
          <w:sz w:val="36"/>
          <w:highlight w:val="none"/>
        </w:rPr>
      </w:pPr>
    </w:p>
    <w:p w14:paraId="31591C01">
      <w:pPr>
        <w:pStyle w:val="9"/>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JJZB-WJ-2025014</w:t>
      </w:r>
    </w:p>
    <w:p w14:paraId="6385ECEA">
      <w:pPr>
        <w:pStyle w:val="9"/>
        <w:spacing w:line="640" w:lineRule="exact"/>
        <w:ind w:left="0" w:leftChars="0" w:firstLine="0" w:firstLineChars="0"/>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福州职业技术学院电子商务师（三级）职业技能培训在线平台服务项目</w:t>
      </w:r>
    </w:p>
    <w:p w14:paraId="4D39A686">
      <w:pPr>
        <w:pStyle w:val="9"/>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4"/>
        <w:jc w:val="both"/>
        <w:rPr>
          <w:rFonts w:hint="default"/>
          <w:color w:val="auto"/>
          <w:sz w:val="48"/>
          <w:highlight w:val="none"/>
        </w:rPr>
      </w:pPr>
    </w:p>
    <w:p w14:paraId="1B8719EF">
      <w:pPr>
        <w:rPr>
          <w:rFonts w:hint="default"/>
          <w:color w:val="auto"/>
          <w:sz w:val="48"/>
          <w:highlight w:val="none"/>
        </w:rPr>
      </w:pPr>
    </w:p>
    <w:p w14:paraId="02773D9C">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月</w:t>
      </w:r>
    </w:p>
    <w:p w14:paraId="4E4F36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56702EE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F8EC9C4">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福州职业技术学院电子商务师（三级）职业技能培训在线平台服务项目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JJZB-WJ-2025014</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福州职业技术学院电子商务师（三级）职业技能培训在线平台服务项目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600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w:t>
      </w:r>
      <w:bookmarkStart w:id="8" w:name="_GoBack"/>
      <w:bookmarkEnd w:id="8"/>
      <w:r>
        <w:rPr>
          <w:rFonts w:hint="eastAsia" w:ascii="宋体" w:hAnsi="宋体" w:eastAsia="宋体" w:cs="宋体"/>
          <w:color w:val="auto"/>
          <w:sz w:val="24"/>
          <w:highlight w:val="none"/>
        </w:rPr>
        <w:t>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0591676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：罗老师 13067201357</w:t>
      </w:r>
      <w:r>
        <w:rPr>
          <w:rFonts w:hint="eastAsia" w:ascii="宋体" w:hAnsi="宋体" w:cs="宋体"/>
          <w:color w:val="auto"/>
          <w:sz w:val="24"/>
          <w:highlight w:val="none"/>
          <w:lang w:val="en-US" w:eastAsia="zh-CN"/>
        </w:rPr>
        <w:t xml:space="preserve">  </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0"/>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0"/>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9"/>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8016816"/>
      <w:bookmarkStart w:id="2" w:name="_Toc359317661"/>
      <w:bookmarkStart w:id="3" w:name="_Toc347060296"/>
      <w:bookmarkStart w:id="4" w:name="_Toc327948617"/>
      <w:bookmarkStart w:id="5" w:name="_Toc330567034"/>
      <w:bookmarkStart w:id="6" w:name="_Toc346300367"/>
      <w:r>
        <w:rPr>
          <w:rFonts w:hint="eastAsia" w:ascii="宋体" w:hAnsi="宋体" w:cs="宋体"/>
          <w:b/>
          <w:color w:val="auto"/>
          <w:sz w:val="24"/>
          <w:szCs w:val="24"/>
          <w:highlight w:val="none"/>
        </w:rPr>
        <w:t>一、项目概述</w:t>
      </w:r>
      <w:bookmarkEnd w:id="1"/>
      <w:bookmarkEnd w:id="2"/>
    </w:p>
    <w:p w14:paraId="5AFDA054">
      <w:pPr>
        <w:pStyle w:val="33"/>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为增强应届毕业生就业能力，提升个人职业素养和扩展技能，商学院拟于2025年9-10月，面向2026届毕业生开展电子商务师职业技能培训，目标是考取电子商务师（三级）职业技能等级证书，帮助学生提高就业竞争力。为提高毕业生电子商务师的考证通过率，现需采购符合国家职业资格标准电子商务师（三级）的在线平台服务。</w:t>
      </w:r>
    </w:p>
    <w:p w14:paraId="401C1468">
      <w:pPr>
        <w:pStyle w:val="33"/>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25"/>
        <w:gridCol w:w="1536"/>
        <w:gridCol w:w="750"/>
        <w:gridCol w:w="1950"/>
        <w:gridCol w:w="1560"/>
        <w:gridCol w:w="1125"/>
        <w:gridCol w:w="1210"/>
      </w:tblGrid>
      <w:tr w14:paraId="7F6B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服务名称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单价最高限价</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3A0DD55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总价最高限价</w:t>
            </w:r>
          </w:p>
        </w:tc>
      </w:tr>
      <w:tr w14:paraId="044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default" w:ascii="宋体" w:hAnsi="宋体" w:eastAsia="宋体" w:cs="新宋体"/>
                <w:b w:val="0"/>
                <w:bCs w:val="0"/>
                <w:color w:val="auto"/>
                <w:kern w:val="0"/>
                <w:sz w:val="24"/>
                <w:szCs w:val="24"/>
                <w:highlight w:val="none"/>
                <w:lang w:val="en-US" w:eastAsia="zh-CN"/>
              </w:rPr>
              <w:t>电子商务师（三级）职业技能培训在线平台服务</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95人</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FF"/>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自签订合同之日起10日内完成交付（服务期限为自交付完成之日起6个月）</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670.00</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4192B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63650.00</w:t>
            </w:r>
          </w:p>
        </w:tc>
      </w:tr>
    </w:tbl>
    <w:p w14:paraId="494F6A1F">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3、本项目采购包成交候选人数量：1名。</w:t>
      </w:r>
    </w:p>
    <w:p w14:paraId="2999472D">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4、本项目数量为预估数量，最终按实际完成数量结算。供应商投标单价不得超过单价最高限价，投标总价不得超过总价最高限价，否则报价无效。</w:t>
      </w:r>
    </w:p>
    <w:p w14:paraId="3E4145C7">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5、供应商报价应包含本次项目所涉及到的所有费用，包括但不限于：培训费、系统维护费、税费等。</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2"/>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330"/>
        <w:gridCol w:w="7775"/>
      </w:tblGrid>
      <w:tr w14:paraId="6DED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6DEFF87">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序号</w:t>
            </w:r>
          </w:p>
        </w:tc>
        <w:tc>
          <w:tcPr>
            <w:tcW w:w="1330" w:type="dxa"/>
            <w:vAlign w:val="center"/>
          </w:tcPr>
          <w:p w14:paraId="669B553F">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名称</w:t>
            </w:r>
          </w:p>
        </w:tc>
        <w:tc>
          <w:tcPr>
            <w:tcW w:w="7775" w:type="dxa"/>
            <w:vAlign w:val="center"/>
          </w:tcPr>
          <w:p w14:paraId="7022463F">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center"/>
              <w:textAlignment w:val="baseline"/>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技术要求</w:t>
            </w:r>
          </w:p>
        </w:tc>
      </w:tr>
      <w:tr w14:paraId="7EDD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A15A13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1330" w:type="dxa"/>
            <w:vAlign w:val="center"/>
          </w:tcPr>
          <w:p w14:paraId="0AD64E17">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default" w:ascii="宋体" w:hAnsi="宋体" w:eastAsia="宋体" w:cs="新宋体"/>
                <w:b w:val="0"/>
                <w:bCs w:val="0"/>
                <w:color w:val="auto"/>
                <w:kern w:val="0"/>
                <w:sz w:val="24"/>
                <w:szCs w:val="24"/>
                <w:highlight w:val="none"/>
                <w:lang w:val="en-US" w:eastAsia="zh-CN"/>
              </w:rPr>
              <w:t>电子商务师（三级）职业技能培训在线平台服务</w:t>
            </w:r>
          </w:p>
        </w:tc>
        <w:tc>
          <w:tcPr>
            <w:tcW w:w="7775" w:type="dxa"/>
            <w:vAlign w:val="center"/>
          </w:tcPr>
          <w:p w14:paraId="654CBB5C">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1、提供电子商务师（三级）（职业编码4-01-06-01，下同）职业技能培训提升服务，服务内容涵盖电子商务师（三级）国家职业技能鉴定考核所需的在线平台服务和线下指导服务。</w:t>
            </w:r>
          </w:p>
          <w:p w14:paraId="1061083B">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2、在线平台服务需包含教学资源及习题库、练习系统，涵盖电子商务师（三级）考证所需习题，练习系统能够模拟理论及技能实操考试</w:t>
            </w:r>
            <w:r>
              <w:rPr>
                <w:rFonts w:hint="eastAsia" w:ascii="宋体" w:hAnsi="宋体" w:cs="宋体"/>
                <w:b w:val="0"/>
                <w:bCs w:val="0"/>
                <w:color w:val="auto"/>
                <w:kern w:val="0"/>
                <w:sz w:val="24"/>
                <w:szCs w:val="24"/>
                <w:highlight w:val="none"/>
                <w:lang w:val="en-US" w:eastAsia="zh-CN" w:bidi="ar-SA"/>
              </w:rPr>
              <w:t>，提供不少于5套题库，每套总题数不少于90题</w:t>
            </w:r>
            <w:r>
              <w:rPr>
                <w:rFonts w:hint="eastAsia" w:ascii="宋体" w:hAnsi="宋体" w:eastAsia="宋体" w:cs="宋体"/>
                <w:b w:val="0"/>
                <w:bCs w:val="0"/>
                <w:color w:val="auto"/>
                <w:kern w:val="0"/>
                <w:sz w:val="24"/>
                <w:szCs w:val="24"/>
                <w:highlight w:val="none"/>
                <w:lang w:val="en-US" w:eastAsia="zh-CN" w:bidi="ar-SA"/>
              </w:rPr>
              <w:t>。</w:t>
            </w:r>
          </w:p>
          <w:p w14:paraId="350D99F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3、在线平台服务提供的账号数不少于报考人数，需确保所有报考用户可同时在线使用。其中，报考人数以成交后实际报考人数为准（不超过95人）。</w:t>
            </w:r>
          </w:p>
          <w:p w14:paraId="7D4833EC">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4、在线平台服务账号最晚于正式考试前一周开放给学生，账号时效不短于1个月。</w:t>
            </w:r>
          </w:p>
          <w:p w14:paraId="356DEACA">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5、在线平台服务需包含在线平台资源更新、升级及平台维护保障。</w:t>
            </w:r>
          </w:p>
          <w:p w14:paraId="34B2FD6E">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6、为报考学员提供不少于2天的线下指导课程，指导内容包括但不限于：在线平台使用指导、考证内容讲解等。</w:t>
            </w:r>
          </w:p>
          <w:p w14:paraId="0044EB3F">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7、</w:t>
            </w:r>
            <w:r>
              <w:rPr>
                <w:rFonts w:hint="eastAsia" w:ascii="宋体" w:hAnsi="宋体" w:eastAsia="宋体" w:cs="宋体"/>
                <w:b w:val="0"/>
                <w:bCs w:val="0"/>
                <w:color w:val="auto"/>
                <w:kern w:val="0"/>
                <w:sz w:val="24"/>
                <w:szCs w:val="24"/>
                <w:highlight w:val="none"/>
                <w:lang w:val="en-US" w:eastAsia="zh-CN" w:bidi="ar-SA"/>
              </w:rPr>
              <w:t>服务期内，需安排至少一名工作人员，及时回复、解决学员及校方相关人员提出的有关疑问。</w:t>
            </w:r>
          </w:p>
        </w:tc>
      </w:tr>
    </w:tbl>
    <w:p w14:paraId="017CE766">
      <w:pPr>
        <w:keepNext w:val="0"/>
        <w:keepLines w:val="0"/>
        <w:pageBreakBefore w:val="0"/>
        <w:widowControl/>
        <w:kinsoku/>
        <w:wordWrap/>
        <w:overflowPunct/>
        <w:topLinePunct w:val="0"/>
        <w:autoSpaceDE/>
        <w:autoSpaceDN/>
        <w:bidi w:val="0"/>
        <w:adjustRightInd/>
        <w:snapToGri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6"/>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sz w:val="24"/>
          <w:szCs w:val="24"/>
        </w:rPr>
        <w:t>福州职业技术学院</w:t>
      </w:r>
      <w:r>
        <w:rPr>
          <w:rFonts w:hint="eastAsia" w:ascii="宋体" w:hAnsi="宋体" w:cs="宋体"/>
          <w:sz w:val="24"/>
          <w:szCs w:val="24"/>
          <w:lang w:eastAsia="zh-CN"/>
        </w:rPr>
        <w:t>（</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cs="宋体"/>
          <w:sz w:val="24"/>
          <w:szCs w:val="24"/>
          <w:lang w:eastAsia="zh-CN"/>
        </w:rPr>
        <w:t>）</w:t>
      </w:r>
      <w:r>
        <w:rPr>
          <w:rFonts w:hint="eastAsia" w:ascii="宋体" w:hAnsi="宋体" w:eastAsia="宋体" w:cs="宋体"/>
          <w:b w:val="0"/>
          <w:bCs w:val="0"/>
          <w:color w:val="auto"/>
          <w:kern w:val="0"/>
          <w:sz w:val="24"/>
          <w:szCs w:val="24"/>
          <w:highlight w:val="none"/>
        </w:rPr>
        <w:t>。</w:t>
      </w:r>
    </w:p>
    <w:p w14:paraId="6AF46AF8">
      <w:pPr>
        <w:pStyle w:val="6"/>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bidi="ar-SA"/>
        </w:rPr>
        <w:t>自签订合同之日起10日内完成交付（服务期限为自交付完成之日起6个月）。</w:t>
      </w:r>
    </w:p>
    <w:p w14:paraId="0F21BAE8">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val="0"/>
          <w:bCs/>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cs="宋体"/>
          <w:b w:val="0"/>
          <w:bCs w:val="0"/>
          <w:color w:val="auto"/>
          <w:kern w:val="0"/>
          <w:sz w:val="24"/>
          <w:szCs w:val="24"/>
          <w:highlight w:val="none"/>
          <w:lang w:val="en-US" w:eastAsia="zh-CN"/>
        </w:rPr>
        <w:t>经采购人</w:t>
      </w:r>
      <w:r>
        <w:rPr>
          <w:rFonts w:hint="eastAsia" w:ascii="宋体" w:hAnsi="宋体" w:eastAsia="宋体" w:cs="宋体"/>
          <w:b w:val="0"/>
          <w:bCs w:val="0"/>
          <w:color w:val="auto"/>
          <w:kern w:val="0"/>
          <w:sz w:val="24"/>
          <w:szCs w:val="24"/>
          <w:highlight w:val="none"/>
        </w:rPr>
        <w:t>验收合格</w:t>
      </w:r>
      <w:r>
        <w:rPr>
          <w:rFonts w:hint="eastAsia" w:ascii="宋体" w:hAnsi="宋体" w:cs="宋体"/>
          <w:b w:val="0"/>
          <w:bCs w:val="0"/>
          <w:color w:val="auto"/>
          <w:kern w:val="0"/>
          <w:sz w:val="24"/>
          <w:szCs w:val="24"/>
          <w:highlight w:val="none"/>
          <w:lang w:val="en-US" w:eastAsia="zh-CN"/>
        </w:rPr>
        <w:t>并</w:t>
      </w:r>
      <w:r>
        <w:rPr>
          <w:rFonts w:hint="eastAsia" w:ascii="宋体" w:hAnsi="宋体" w:eastAsia="宋体" w:cs="宋体"/>
          <w:b w:val="0"/>
          <w:bCs w:val="0"/>
          <w:color w:val="auto"/>
          <w:kern w:val="0"/>
          <w:sz w:val="24"/>
          <w:szCs w:val="24"/>
          <w:highlight w:val="none"/>
        </w:rPr>
        <w:t>交付使用</w:t>
      </w:r>
      <w:r>
        <w:rPr>
          <w:rFonts w:hint="eastAsia" w:cs="宋体"/>
          <w:b w:val="0"/>
          <w:bCs w:val="0"/>
          <w:color w:val="auto"/>
          <w:kern w:val="0"/>
          <w:sz w:val="24"/>
          <w:szCs w:val="24"/>
          <w:highlight w:val="none"/>
          <w:lang w:eastAsia="zh-CN"/>
        </w:rPr>
        <w:t>，</w:t>
      </w:r>
      <w:r>
        <w:rPr>
          <w:rFonts w:hint="eastAsia" w:ascii="宋体" w:hAnsi="宋体" w:eastAsia="宋体" w:cs="宋体"/>
          <w:b w:val="0"/>
          <w:bCs/>
          <w:sz w:val="24"/>
          <w:szCs w:val="24"/>
          <w:highlight w:val="none"/>
        </w:rPr>
        <w:t>提供</w:t>
      </w:r>
      <w:r>
        <w:rPr>
          <w:rFonts w:hint="eastAsia" w:ascii="宋体" w:hAnsi="宋体" w:eastAsia="宋体" w:cs="宋体"/>
          <w:b w:val="0"/>
          <w:bCs/>
          <w:sz w:val="24"/>
          <w:szCs w:val="24"/>
          <w:highlight w:val="none"/>
          <w:lang w:val="en-US" w:eastAsia="zh-CN"/>
        </w:rPr>
        <w:t>的在线平台及</w:t>
      </w:r>
      <w:r>
        <w:rPr>
          <w:rFonts w:hint="eastAsia" w:ascii="宋体" w:hAnsi="宋体" w:eastAsia="宋体" w:cs="宋体"/>
          <w:b w:val="0"/>
          <w:bCs/>
          <w:sz w:val="24"/>
          <w:szCs w:val="24"/>
          <w:highlight w:val="none"/>
        </w:rPr>
        <w:t>教学资源应符合国家职业工种的相关标准，并且不违反法律法规的禁止性规定，不存在任何版权纠纷。</w:t>
      </w:r>
    </w:p>
    <w:p w14:paraId="1A6354C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6E777C53">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eastAsia" w:ascii="宋体" w:hAnsi="宋体" w:eastAsia="宋体" w:cs="宋体"/>
          <w:b w:val="0"/>
          <w:bCs w:val="0"/>
          <w:color w:val="0000FF"/>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cs="宋体"/>
          <w:b w:val="0"/>
          <w:bCs w:val="0"/>
          <w:color w:val="auto"/>
          <w:sz w:val="24"/>
          <w:szCs w:val="24"/>
          <w:highlight w:val="none"/>
          <w:lang w:val="en-US" w:eastAsia="zh-CN"/>
        </w:rPr>
        <w:t>本项目服务费结算方式</w:t>
      </w:r>
      <w:r>
        <w:rPr>
          <w:rFonts w:hint="eastAsia" w:ascii="宋体" w:hAnsi="宋体" w:eastAsia="宋体" w:cs="宋体"/>
          <w:b w:val="0"/>
          <w:bCs w:val="0"/>
          <w:kern w:val="2"/>
          <w:sz w:val="24"/>
          <w:szCs w:val="24"/>
          <w:lang w:val="en-US" w:eastAsia="zh-CN" w:bidi="ar-SA"/>
        </w:rPr>
        <w:t>详见8、支付条款内容</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该项目使用人社厅《福建省补贴性职业培训管理平台》“见证补贴”专款支付，以人社厅返还采购</w:t>
      </w:r>
      <w:r>
        <w:rPr>
          <w:rFonts w:hint="eastAsia" w:ascii="宋体" w:hAnsi="宋体" w:cs="宋体"/>
          <w:b w:val="0"/>
          <w:bCs w:val="0"/>
          <w:color w:val="auto"/>
          <w:sz w:val="24"/>
          <w:szCs w:val="24"/>
          <w:highlight w:val="none"/>
          <w:lang w:val="en-US" w:eastAsia="zh-CN"/>
        </w:rPr>
        <w:t>人</w:t>
      </w:r>
      <w:r>
        <w:rPr>
          <w:rFonts w:hint="eastAsia" w:ascii="宋体" w:hAnsi="宋体" w:eastAsia="宋体" w:cs="宋体"/>
          <w:b w:val="0"/>
          <w:bCs w:val="0"/>
          <w:color w:val="auto"/>
          <w:sz w:val="24"/>
          <w:szCs w:val="24"/>
          <w:highlight w:val="none"/>
        </w:rPr>
        <w:t>的实际到账金额为准，如果无到账金额，则</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rPr>
        <w:t>不得收取任何服务费用。全部服务经验收合格后，30日内</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凭收讫验收凭证和验收合格文件等材料以转账方式向</w:t>
      </w:r>
      <w:r>
        <w:rPr>
          <w:rFonts w:hint="eastAsia" w:ascii="宋体" w:hAnsi="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供应商一次性支付100%的服务价款</w:t>
      </w:r>
      <w:r>
        <w:rPr>
          <w:rFonts w:hint="eastAsia" w:ascii="宋体" w:hAnsi="宋体" w:cs="宋体"/>
          <w:b w:val="0"/>
          <w:bCs w:val="0"/>
          <w:color w:val="auto"/>
          <w:sz w:val="24"/>
          <w:szCs w:val="24"/>
          <w:highlight w:val="none"/>
          <w:lang w:val="en-US" w:eastAsia="zh-CN"/>
        </w:rPr>
        <w:t>。</w:t>
      </w:r>
    </w:p>
    <w:p w14:paraId="1892915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123C9F8F">
      <w:pPr>
        <w:keepNext w:val="0"/>
        <w:keepLines w:val="0"/>
        <w:pageBreakBefore w:val="0"/>
        <w:tabs>
          <w:tab w:val="left" w:pos="0"/>
        </w:tabs>
        <w:kinsoku/>
        <w:wordWrap/>
        <w:overflowPunct/>
        <w:topLinePunct w:val="0"/>
        <w:autoSpaceDE/>
        <w:autoSpaceDN/>
        <w:bidi w:val="0"/>
        <w:adjustRightInd w:val="0"/>
        <w:snapToGrid/>
        <w:spacing w:line="400" w:lineRule="exact"/>
        <w:ind w:firstLine="482"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bidi="ar-SA"/>
        </w:rPr>
        <w:t>8、支付条款：</w:t>
      </w:r>
      <w:r>
        <w:rPr>
          <w:rFonts w:hint="eastAsia" w:asciiTheme="minorEastAsia" w:hAnsiTheme="minorEastAsia" w:eastAsiaTheme="minorEastAsia" w:cstheme="minorEastAsia"/>
          <w:color w:val="auto"/>
          <w:sz w:val="24"/>
          <w:szCs w:val="24"/>
          <w:highlight w:val="none"/>
          <w:lang w:val="en-US" w:eastAsia="zh-CN"/>
        </w:rPr>
        <w:t>预算总金额为项目的最高限价。实际应支付的服务费金额，将根据以下服务费结算方式计算得出。</w:t>
      </w:r>
    </w:p>
    <w:p w14:paraId="2498BF1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exact"/>
        <w:ind w:left="0" w:leftChars="0" w:righ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8.1 服务费以考试通过率作为结算依据，标准如下：</w:t>
      </w:r>
    </w:p>
    <w:tbl>
      <w:tblPr>
        <w:tblStyle w:val="21"/>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817"/>
        <w:gridCol w:w="5689"/>
      </w:tblGrid>
      <w:tr w14:paraId="1F69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72" w:type="dxa"/>
            <w:noWrap/>
            <w:vAlign w:val="center"/>
          </w:tcPr>
          <w:p w14:paraId="18EEAC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考试通过率</w:t>
            </w:r>
          </w:p>
        </w:tc>
        <w:tc>
          <w:tcPr>
            <w:tcW w:w="1817" w:type="dxa"/>
            <w:noWrap/>
            <w:vAlign w:val="center"/>
          </w:tcPr>
          <w:p w14:paraId="23BDC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服务费（元/人）</w:t>
            </w:r>
          </w:p>
        </w:tc>
        <w:tc>
          <w:tcPr>
            <w:tcW w:w="5689" w:type="dxa"/>
            <w:noWrap/>
            <w:vAlign w:val="center"/>
          </w:tcPr>
          <w:p w14:paraId="2494C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结算人数说明</w:t>
            </w:r>
          </w:p>
        </w:tc>
      </w:tr>
      <w:tr w14:paraId="4139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72" w:type="dxa"/>
            <w:noWrap/>
            <w:vAlign w:val="center"/>
          </w:tcPr>
          <w:p w14:paraId="2C5E5796">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0-30%</w:t>
            </w:r>
          </w:p>
        </w:tc>
        <w:tc>
          <w:tcPr>
            <w:tcW w:w="1817" w:type="dxa"/>
            <w:noWrap/>
            <w:vAlign w:val="center"/>
          </w:tcPr>
          <w:p w14:paraId="75153688">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470</w:t>
            </w:r>
          </w:p>
        </w:tc>
        <w:tc>
          <w:tcPr>
            <w:tcW w:w="5689" w:type="dxa"/>
            <w:vMerge w:val="restart"/>
            <w:noWrap/>
            <w:vAlign w:val="center"/>
          </w:tcPr>
          <w:p w14:paraId="1FB623D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实际到考人数和参加培训人数不低于报考人数的90%，按考试通过人数结算服务费；</w:t>
            </w:r>
          </w:p>
          <w:p w14:paraId="7B385AC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实际到考人数和参加培训人数低于报考人数的90%，按报考人数结算服务费；</w:t>
            </w:r>
          </w:p>
          <w:p w14:paraId="2CB9F06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举例说明：</w:t>
            </w:r>
          </w:p>
          <w:p w14:paraId="749C164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采购需求中的采购数量（95人）仅为预报名人数；</w:t>
            </w:r>
          </w:p>
          <w:p w14:paraId="1AC57C4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采购成交后，根据正式报考人数确定采购数量，提供培训提升服务；</w:t>
            </w:r>
          </w:p>
          <w:p w14:paraId="28FDE13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考试时，如实际到考人数≥报考人数的90%，则按通过人数结算服务费；如实际到考人数＜报考人数的90%，则按报考人数结算服务费。</w:t>
            </w:r>
          </w:p>
          <w:p w14:paraId="48A6DAF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val="en-US" w:eastAsia="zh-CN"/>
              </w:rPr>
              <w:t>参加培训界定：以是否全程参加考前最后一天的考前冲刺培训为判断标准，若未全程参加考前最后一天的考前冲刺培训，则视为未参加培训。</w:t>
            </w:r>
          </w:p>
        </w:tc>
      </w:tr>
      <w:tr w14:paraId="2F1E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72" w:type="dxa"/>
            <w:noWrap/>
            <w:vAlign w:val="center"/>
          </w:tcPr>
          <w:p w14:paraId="15C2D93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30%(含)-60%</w:t>
            </w:r>
          </w:p>
        </w:tc>
        <w:tc>
          <w:tcPr>
            <w:tcW w:w="1817" w:type="dxa"/>
            <w:noWrap/>
            <w:vAlign w:val="center"/>
          </w:tcPr>
          <w:p w14:paraId="1F8736A5">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570</w:t>
            </w:r>
          </w:p>
        </w:tc>
        <w:tc>
          <w:tcPr>
            <w:tcW w:w="5689" w:type="dxa"/>
            <w:vMerge w:val="continue"/>
            <w:noWrap/>
            <w:vAlign w:val="center"/>
          </w:tcPr>
          <w:p w14:paraId="20DC7A11">
            <w:pPr>
              <w:keepNext w:val="0"/>
              <w:keepLines w:val="0"/>
              <w:pageBreakBefore w:val="0"/>
              <w:kinsoku/>
              <w:wordWrap/>
              <w:overflowPunct/>
              <w:topLinePunct w:val="0"/>
              <w:autoSpaceDE/>
              <w:autoSpaceDN/>
              <w:bidi w:val="0"/>
              <w:snapToGrid/>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r>
      <w:tr w14:paraId="0E57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72" w:type="dxa"/>
            <w:noWrap/>
            <w:vAlign w:val="center"/>
          </w:tcPr>
          <w:p w14:paraId="236A1326">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60%(含)-90%</w:t>
            </w:r>
          </w:p>
        </w:tc>
        <w:tc>
          <w:tcPr>
            <w:tcW w:w="1817" w:type="dxa"/>
            <w:noWrap/>
            <w:vAlign w:val="center"/>
          </w:tcPr>
          <w:p w14:paraId="62C86CE2">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620</w:t>
            </w:r>
          </w:p>
        </w:tc>
        <w:tc>
          <w:tcPr>
            <w:tcW w:w="5689" w:type="dxa"/>
            <w:vMerge w:val="continue"/>
            <w:noWrap/>
            <w:vAlign w:val="center"/>
          </w:tcPr>
          <w:p w14:paraId="0A188EAB">
            <w:pPr>
              <w:keepNext w:val="0"/>
              <w:keepLines w:val="0"/>
              <w:pageBreakBefore w:val="0"/>
              <w:kinsoku/>
              <w:wordWrap/>
              <w:overflowPunct/>
              <w:topLinePunct w:val="0"/>
              <w:autoSpaceDE/>
              <w:autoSpaceDN/>
              <w:bidi w:val="0"/>
              <w:snapToGrid/>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r>
      <w:tr w14:paraId="6EF6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2" w:type="dxa"/>
            <w:noWrap/>
            <w:vAlign w:val="center"/>
          </w:tcPr>
          <w:p w14:paraId="130CA42A">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90%(含)-100%</w:t>
            </w:r>
          </w:p>
        </w:tc>
        <w:tc>
          <w:tcPr>
            <w:tcW w:w="1817" w:type="dxa"/>
            <w:noWrap/>
            <w:vAlign w:val="center"/>
          </w:tcPr>
          <w:p w14:paraId="0A1BEE4D">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670</w:t>
            </w:r>
          </w:p>
        </w:tc>
        <w:tc>
          <w:tcPr>
            <w:tcW w:w="5689" w:type="dxa"/>
            <w:vMerge w:val="continue"/>
            <w:noWrap/>
            <w:vAlign w:val="center"/>
          </w:tcPr>
          <w:p w14:paraId="20A656D5">
            <w:pPr>
              <w:keepNext w:val="0"/>
              <w:keepLines w:val="0"/>
              <w:pageBreakBefore w:val="0"/>
              <w:kinsoku/>
              <w:wordWrap/>
              <w:overflowPunct/>
              <w:topLinePunct w:val="0"/>
              <w:autoSpaceDE/>
              <w:autoSpaceDN/>
              <w:bidi w:val="0"/>
              <w:snapToGrid/>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r>
    </w:tbl>
    <w:p w14:paraId="6FE022E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exact"/>
        <w:ind w:left="0" w:leftChars="0" w:righ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8.2 服务费阶梯说明：上述表格中最高考试通过率所对应的最高服务费最终根据成交价为依据，其它各级服务费按其与最高服务费的相对差额保持不变自动确定。</w:t>
      </w:r>
    </w:p>
    <w:p w14:paraId="51162DB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exact"/>
        <w:ind w:left="0" w:leftChars="0" w:righ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8.3 考试通过率计算方式为：考试通过人数/有效到考人数，其中，有效到考人数要扣除该场次未参加培训（参加培训界定按照上述表格中界定标准）及认定成绩为0分（理论、实操两门中任意一门）的学员。</w:t>
      </w:r>
    </w:p>
    <w:p w14:paraId="2DE42ED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00" w:lineRule="exact"/>
        <w:ind w:left="0" w:leftChars="0" w:right="0" w:firstLine="480" w:firstLineChars="200"/>
        <w:textAlignment w:val="auto"/>
        <w:rPr>
          <w:rFonts w:hint="eastAsia" w:asciiTheme="minorEastAsia" w:hAnsiTheme="minorEastAsia" w:eastAsiaTheme="minorEastAsia" w:cstheme="minorEastAsia"/>
          <w:color w:val="0000FF"/>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8.4 若考生考试未通过，补考需要再次接受培训提升服务的，需要重新缴纳服务费。</w:t>
      </w:r>
    </w:p>
    <w:p w14:paraId="53539402">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cs="宋体"/>
          <w:b w:val="0"/>
          <w:bCs w:val="0"/>
          <w:kern w:val="2"/>
          <w:sz w:val="24"/>
          <w:szCs w:val="24"/>
          <w:lang w:val="en-US" w:eastAsia="zh-CN" w:bidi="ar-SA"/>
        </w:rPr>
      </w:pPr>
      <w:r>
        <w:rPr>
          <w:rFonts w:hint="eastAsia" w:cs="宋体"/>
          <w:b/>
          <w:bCs/>
          <w:kern w:val="2"/>
          <w:sz w:val="24"/>
          <w:szCs w:val="24"/>
          <w:lang w:val="en-US" w:eastAsia="zh-CN" w:bidi="ar-SA"/>
        </w:rPr>
        <w:t>9、售后服务要求：</w:t>
      </w:r>
      <w:r>
        <w:rPr>
          <w:rFonts w:hint="eastAsia" w:cs="宋体"/>
          <w:b w:val="0"/>
          <w:bCs w:val="0"/>
          <w:kern w:val="2"/>
          <w:sz w:val="24"/>
          <w:szCs w:val="24"/>
          <w:lang w:val="en-US" w:eastAsia="zh-CN" w:bidi="ar-SA"/>
        </w:rPr>
        <w:t>在在线平台服务账号有效期内，在线平台运行发生故障时，成交供应商在接到采购人故障通知后12小时内应委派专业技术人员免费提供咨询、故障解决等服务，若4小时内无法排除故障，则应先提供相同功能备用服务供采购人使用，其中发生一切费用由成交供应商承担。</w:t>
      </w:r>
    </w:p>
    <w:p w14:paraId="1266D1DA">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10、</w:t>
      </w:r>
      <w:r>
        <w:rPr>
          <w:rFonts w:hint="eastAsia" w:ascii="宋体" w:hAnsi="宋体" w:eastAsia="宋体" w:cs="宋体"/>
          <w:b/>
          <w:bCs/>
          <w:kern w:val="2"/>
          <w:sz w:val="24"/>
          <w:szCs w:val="24"/>
          <w:lang w:val="en-US" w:eastAsia="zh-CN" w:bidi="ar-SA"/>
        </w:rPr>
        <w:t>验收要求：</w:t>
      </w:r>
    </w:p>
    <w:p w14:paraId="6069D5EB">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10.1所供服务符合上述技术服务要求及合同的要求，根据项目服务达标情况进行验收。成交供应商须在项目验收时，将全部相关的技术文件、资料等文档交付给采购人。</w:t>
      </w:r>
    </w:p>
    <w:p w14:paraId="57408697">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10.2验收方式：</w:t>
      </w:r>
    </w:p>
    <w:p w14:paraId="2FACA428">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10.2.1于所服务学员的电子商务师（三级）考试</w:t>
      </w:r>
      <w:r>
        <w:rPr>
          <w:rFonts w:hint="eastAsia" w:ascii="宋体" w:hAnsi="宋体" w:eastAsia="宋体" w:cs="宋体"/>
          <w:b w:val="0"/>
          <w:bCs w:val="0"/>
          <w:kern w:val="2"/>
          <w:sz w:val="24"/>
          <w:szCs w:val="24"/>
          <w:lang w:val="en-US" w:eastAsia="zh" w:bidi="ar-SA"/>
        </w:rPr>
        <w:t>成绩公布后的30</w:t>
      </w:r>
      <w:r>
        <w:rPr>
          <w:rFonts w:hint="eastAsia" w:ascii="宋体" w:hAnsi="宋体" w:eastAsia="宋体" w:cs="宋体"/>
          <w:b w:val="0"/>
          <w:bCs w:val="0"/>
          <w:kern w:val="2"/>
          <w:sz w:val="24"/>
          <w:szCs w:val="24"/>
          <w:lang w:val="en-US" w:eastAsia="zh-CN" w:bidi="ar-SA"/>
        </w:rPr>
        <w:t>日内完成验收。</w:t>
      </w:r>
    </w:p>
    <w:p w14:paraId="1E75E631">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10.2.2以在线平台服务提供的在线使用账号数进行核对验收，账号数应不少于报名参加考试的人数，报名参加考试的人数不超过95人。</w:t>
      </w:r>
    </w:p>
    <w:p w14:paraId="478BF434">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10.2.3以在线平台提供的题库</w:t>
      </w:r>
      <w:r>
        <w:rPr>
          <w:rFonts w:hint="eastAsia" w:cs="宋体"/>
          <w:b w:val="0"/>
          <w:bCs w:val="0"/>
          <w:kern w:val="2"/>
          <w:sz w:val="24"/>
          <w:szCs w:val="24"/>
          <w:lang w:val="en-US" w:eastAsia="zh-CN" w:bidi="ar-SA"/>
        </w:rPr>
        <w:t>资源数量</w:t>
      </w:r>
      <w:r>
        <w:rPr>
          <w:rFonts w:hint="eastAsia" w:ascii="宋体" w:hAnsi="宋体" w:eastAsia="宋体" w:cs="宋体"/>
          <w:b w:val="0"/>
          <w:bCs w:val="0"/>
          <w:kern w:val="2"/>
          <w:sz w:val="24"/>
          <w:szCs w:val="24"/>
          <w:highlight w:val="none"/>
          <w:lang w:val="en-US" w:eastAsia="zh-CN" w:bidi="ar-SA"/>
        </w:rPr>
        <w:t>（不低于</w:t>
      </w:r>
      <w:r>
        <w:rPr>
          <w:rFonts w:hint="eastAsia" w:cs="宋体"/>
          <w:b w:val="0"/>
          <w:bCs w:val="0"/>
          <w:kern w:val="2"/>
          <w:sz w:val="24"/>
          <w:szCs w:val="24"/>
          <w:highlight w:val="none"/>
          <w:lang w:val="en-US" w:eastAsia="zh-CN" w:bidi="ar-SA"/>
        </w:rPr>
        <w:t>5套，每套总题数不少于90题</w:t>
      </w:r>
      <w:r>
        <w:rPr>
          <w:rFonts w:hint="eastAsia" w:ascii="宋体" w:hAnsi="宋体" w:eastAsia="宋体" w:cs="宋体"/>
          <w:b w:val="0"/>
          <w:bCs w:val="0"/>
          <w:kern w:val="2"/>
          <w:sz w:val="24"/>
          <w:szCs w:val="24"/>
          <w:lang w:val="en-US" w:eastAsia="zh-CN" w:bidi="ar-SA"/>
        </w:rPr>
        <w:t>）进行逐项核对验收。</w:t>
      </w:r>
    </w:p>
    <w:p w14:paraId="56EFE1D0">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sz w:val="24"/>
          <w:szCs w:val="24"/>
          <w:highlight w:val="none"/>
          <w:lang w:val="en-US" w:eastAsia="zh"/>
        </w:rPr>
      </w:pPr>
      <w:r>
        <w:rPr>
          <w:rFonts w:hint="eastAsia" w:ascii="宋体" w:hAnsi="宋体" w:eastAsia="宋体" w:cs="宋体"/>
          <w:b w:val="0"/>
          <w:bCs w:val="0"/>
          <w:kern w:val="2"/>
          <w:sz w:val="24"/>
          <w:szCs w:val="24"/>
          <w:lang w:val="en-US" w:eastAsia="zh-CN" w:bidi="ar-SA"/>
        </w:rPr>
        <w:t>10.2.4</w:t>
      </w:r>
      <w:r>
        <w:rPr>
          <w:rFonts w:hint="eastAsia" w:ascii="宋体" w:hAnsi="宋体" w:eastAsia="宋体" w:cs="宋体"/>
          <w:b w:val="0"/>
          <w:bCs w:val="0"/>
          <w:kern w:val="2"/>
          <w:sz w:val="24"/>
          <w:szCs w:val="24"/>
          <w:lang w:val="en-US" w:eastAsia="zh" w:bidi="ar-SA"/>
        </w:rPr>
        <w:t>根据人社厅“见证补贴”要求，配合完成领取补贴材料，包括但不限于培训记录佐证（照片及视频）</w:t>
      </w:r>
      <w:r>
        <w:rPr>
          <w:rFonts w:hint="eastAsia" w:ascii="宋体" w:hAnsi="宋体" w:eastAsia="宋体" w:cs="宋体"/>
          <w:b w:val="0"/>
          <w:bCs w:val="0"/>
          <w:sz w:val="24"/>
          <w:szCs w:val="24"/>
          <w:highlight w:val="none"/>
          <w:lang w:val="en-US" w:eastAsia="zh"/>
        </w:rPr>
        <w:t>等。</w:t>
      </w:r>
    </w:p>
    <w:p w14:paraId="04C247C2">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11</w:t>
      </w:r>
      <w:r>
        <w:rPr>
          <w:rFonts w:hint="eastAsia" w:ascii="宋体" w:hAnsi="宋体" w:eastAsia="宋体" w:cs="宋体"/>
          <w:b/>
          <w:bCs/>
          <w:kern w:val="2"/>
          <w:sz w:val="24"/>
          <w:szCs w:val="24"/>
          <w:lang w:val="en-US" w:eastAsia="zh-CN" w:bidi="ar-SA"/>
        </w:rPr>
        <w:t>、</w:t>
      </w:r>
      <w:r>
        <w:rPr>
          <w:rFonts w:hint="eastAsia" w:cs="宋体"/>
          <w:b/>
          <w:bCs/>
          <w:kern w:val="2"/>
          <w:sz w:val="24"/>
          <w:szCs w:val="24"/>
          <w:lang w:val="en-US" w:eastAsia="zh-CN" w:bidi="ar-SA"/>
        </w:rPr>
        <w:t>保密</w:t>
      </w:r>
      <w:r>
        <w:rPr>
          <w:rFonts w:hint="eastAsia" w:ascii="宋体" w:hAnsi="宋体" w:eastAsia="宋体" w:cs="宋体"/>
          <w:b/>
          <w:bCs/>
          <w:kern w:val="2"/>
          <w:sz w:val="24"/>
          <w:szCs w:val="24"/>
          <w:lang w:val="en-US" w:eastAsia="zh-CN" w:bidi="ar-SA"/>
        </w:rPr>
        <w:t>：</w:t>
      </w:r>
    </w:p>
    <w:p w14:paraId="5B74AB3A">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11.1成交供应商应保护在项目实施过程中采购人提供的所有信息和平台上的记录，对所有的信息数据及记录要采取保密措施，严禁泄露给除采购人以外的任何第三方。</w:t>
      </w:r>
    </w:p>
    <w:p w14:paraId="65DFCC78">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11.2为保护研究对象隐私权，避免违反国家和地方法律法规规定的，成交供应商不得向采购人提供任何有违国家及地方法律法规规定的任何信息或资料。</w:t>
      </w:r>
    </w:p>
    <w:p w14:paraId="6855672E">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11.3未经采购人事先书面同意，成交供应商不得将由采购人为本项目提供的条文、规格、计划、资料提供给与本项目无关的任何第三方，不得将其用于履行本项目之外的其它用途。即使向与履行本项目有关的人员提供，也应注意保密并限于履行项目所必需的范围。</w:t>
      </w:r>
    </w:p>
    <w:p w14:paraId="2DDEDE8E">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11.4成交供应商违反本保密条款的，应支付合同总金额5%的违约金，并赔偿由此给采购人造成的任何损失。本条款在本项目合同履行期间至履行结束后均有效。</w:t>
      </w:r>
    </w:p>
    <w:p w14:paraId="7FB10889">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cs="宋体"/>
          <w:b/>
          <w:bCs/>
          <w:kern w:val="2"/>
          <w:sz w:val="24"/>
          <w:szCs w:val="24"/>
          <w:lang w:val="en-US" w:eastAsia="zh-CN" w:bidi="ar-SA"/>
        </w:rPr>
        <w:t>2</w:t>
      </w:r>
      <w:r>
        <w:rPr>
          <w:rFonts w:hint="eastAsia" w:ascii="宋体" w:hAnsi="宋体" w:eastAsia="宋体" w:cs="宋体"/>
          <w:b/>
          <w:bCs/>
          <w:kern w:val="2"/>
          <w:sz w:val="24"/>
          <w:szCs w:val="24"/>
          <w:lang w:val="en-US" w:eastAsia="zh-CN" w:bidi="ar-SA"/>
        </w:rPr>
        <w:t>、不可抗力：</w:t>
      </w:r>
    </w:p>
    <w:p w14:paraId="51D5A77C">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cs="宋体"/>
          <w:b w:val="0"/>
          <w:bCs w:val="0"/>
          <w:kern w:val="2"/>
          <w:sz w:val="24"/>
          <w:szCs w:val="24"/>
          <w:lang w:val="en-US" w:eastAsia="zh-CN" w:bidi="ar-SA"/>
        </w:rPr>
        <w:t>12</w:t>
      </w:r>
      <w:r>
        <w:rPr>
          <w:rFonts w:hint="eastAsia" w:ascii="宋体" w:hAnsi="宋体" w:eastAsia="宋体" w:cs="宋体"/>
          <w:b w:val="0"/>
          <w:bCs w:val="0"/>
          <w:kern w:val="2"/>
          <w:sz w:val="24"/>
          <w:szCs w:val="24"/>
          <w:lang w:val="en-US" w:eastAsia="zh-CN" w:bidi="ar-SA"/>
        </w:rPr>
        <w:t>.1定义：不可抗力是指合同双方无法预见、无法避免且无法克服的客观情况，包括但不限于自然灾害、战争、政治事件、政府行为、罢工、疫情、网络攻击、技术故障等。</w:t>
      </w:r>
    </w:p>
    <w:p w14:paraId="7510420E">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cs="宋体"/>
          <w:b w:val="0"/>
          <w:bCs w:val="0"/>
          <w:kern w:val="2"/>
          <w:sz w:val="24"/>
          <w:szCs w:val="24"/>
          <w:lang w:val="en-US" w:eastAsia="zh-CN" w:bidi="ar-SA"/>
        </w:rPr>
        <w:t>12</w:t>
      </w:r>
      <w:r>
        <w:rPr>
          <w:rFonts w:hint="eastAsia" w:ascii="宋体" w:hAnsi="宋体" w:eastAsia="宋体" w:cs="宋体"/>
          <w:b w:val="0"/>
          <w:bCs w:val="0"/>
          <w:kern w:val="2"/>
          <w:sz w:val="24"/>
          <w:szCs w:val="24"/>
          <w:lang w:val="en-US" w:eastAsia="zh-CN" w:bidi="ar-SA"/>
        </w:rPr>
        <w:t>.2适用范围：当不可抗力事件导致一方无法履行或延迟履行其合同义务时，该方应及时通知另一方并提供相关证明文件。不可抗力事件期间，受影响方应免除其因无法履行或延迟履行所产生的违约责任。</w:t>
      </w:r>
    </w:p>
    <w:p w14:paraId="3FAC2CA8">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cs="宋体"/>
          <w:b w:val="0"/>
          <w:bCs w:val="0"/>
          <w:kern w:val="2"/>
          <w:sz w:val="24"/>
          <w:szCs w:val="24"/>
          <w:lang w:val="en-US" w:eastAsia="zh-CN" w:bidi="ar-SA"/>
        </w:rPr>
        <w:t>12</w:t>
      </w:r>
      <w:r>
        <w:rPr>
          <w:rFonts w:hint="eastAsia" w:ascii="宋体" w:hAnsi="宋体" w:eastAsia="宋体" w:cs="宋体"/>
          <w:b w:val="0"/>
          <w:bCs w:val="0"/>
          <w:kern w:val="2"/>
          <w:sz w:val="24"/>
          <w:szCs w:val="24"/>
          <w:lang w:val="en-US" w:eastAsia="zh-CN" w:bidi="ar-SA"/>
        </w:rPr>
        <w:t>.3履行期限的延长：在不可抗力事件持续期间，合同双方应协商延长受影响方的履行期限。若不可抗力事件持续时间过长，导致合同无法继续履行，双方可协商解除合同。</w:t>
      </w:r>
    </w:p>
    <w:p w14:paraId="4270D1BC">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jc w:val="left"/>
        <w:rPr>
          <w:rFonts w:hint="eastAsia" w:ascii="宋体" w:hAnsi="宋体" w:eastAsia="宋体" w:cs="宋体"/>
          <w:b/>
          <w:bCs/>
          <w:kern w:val="2"/>
          <w:sz w:val="24"/>
          <w:szCs w:val="24"/>
          <w:lang w:val="en-US" w:eastAsia="zh-CN" w:bidi="ar-SA"/>
        </w:rPr>
      </w:pPr>
      <w:r>
        <w:rPr>
          <w:rFonts w:hint="eastAsia" w:cs="宋体"/>
          <w:b w:val="0"/>
          <w:bCs w:val="0"/>
          <w:kern w:val="2"/>
          <w:sz w:val="24"/>
          <w:szCs w:val="24"/>
          <w:lang w:val="en-US" w:eastAsia="zh-CN" w:bidi="ar-SA"/>
        </w:rPr>
        <w:t>12</w:t>
      </w:r>
      <w:r>
        <w:rPr>
          <w:rFonts w:hint="eastAsia" w:ascii="宋体" w:hAnsi="宋体" w:eastAsia="宋体" w:cs="宋体"/>
          <w:b w:val="0"/>
          <w:bCs w:val="0"/>
          <w:kern w:val="2"/>
          <w:sz w:val="24"/>
          <w:szCs w:val="24"/>
          <w:lang w:val="en-US" w:eastAsia="zh-CN" w:bidi="ar-SA"/>
        </w:rPr>
        <w:t>.4减轻损失：合同双方应尽力采取合理措施，减轻不可抗力事件给双方造成的损失。</w:t>
      </w:r>
      <w:r>
        <w:rPr>
          <w:rFonts w:hint="eastAsia" w:ascii="宋体" w:hAnsi="宋体" w:eastAsia="宋体" w:cs="宋体"/>
          <w:b/>
          <w:bCs/>
          <w:kern w:val="2"/>
          <w:sz w:val="24"/>
          <w:szCs w:val="24"/>
          <w:lang w:val="en-US" w:eastAsia="zh-CN" w:bidi="ar-SA"/>
        </w:rPr>
        <w:t>1</w:t>
      </w:r>
      <w:r>
        <w:rPr>
          <w:rFonts w:hint="eastAsia"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、违约责任：</w:t>
      </w:r>
    </w:p>
    <w:p w14:paraId="7AE68F8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13.1提供的服务不符合约定或存在缺陷</w:t>
      </w:r>
    </w:p>
    <w:p w14:paraId="2EF8616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成交供应商对所供服务与合同要求不符负有责任，如服务过程中所提供服务证实不符合合同约定或存在缺陷的，成交供应商应在7天内更换服务，逾期则按成交金额的1%/天支付违约金。如更换服务后仍不符合合同约定或缺陷存在的，采购人可根据本合同技术要求的规定，向成交供应商进行索赔。</w:t>
      </w:r>
    </w:p>
    <w:p w14:paraId="30E0BCE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13.2逾期不能提供约定服务的赔偿</w:t>
      </w:r>
    </w:p>
    <w:p w14:paraId="364BAE8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除不可抗力因素外，如果成交供应商不能按照合同规定的时间提供服务，应及时以书面形式将逾期的事实、可能逾期的时间和原因通知采购人。采购人收到成交供应商通知后，将尽快作出评价，向成交供应商提出赔偿要求，未提供服务逾期期限一旦达到10天，采购人有权解除合同，且成交供应商仍应按合同约定支付10%的违约金。违约金的支付不影响采购人向成交供应商要求损害赔偿。</w:t>
      </w:r>
    </w:p>
    <w:p w14:paraId="7358464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13.3成交供应商未按约定提供售后服务</w:t>
      </w:r>
    </w:p>
    <w:p w14:paraId="7EA08C0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bCs/>
          <w:szCs w:val="24"/>
          <w:lang w:val="en-US" w:eastAsia="zh-CN"/>
        </w:rPr>
      </w:pPr>
      <w:r>
        <w:rPr>
          <w:rFonts w:hint="eastAsia" w:cs="宋体"/>
          <w:b w:val="0"/>
          <w:bCs w:val="0"/>
          <w:szCs w:val="24"/>
          <w:lang w:val="en-US" w:eastAsia="zh-CN"/>
        </w:rPr>
        <w:t>如果成交供应商未能按照合同约定的时间提供</w:t>
      </w:r>
      <w:r>
        <w:rPr>
          <w:rFonts w:hint="eastAsia" w:cs="宋体"/>
          <w:b w:val="0"/>
          <w:bCs w:val="0"/>
          <w:szCs w:val="24"/>
          <w:highlight w:val="none"/>
          <w:lang w:val="en-US" w:eastAsia="zh-CN"/>
        </w:rPr>
        <w:t>售后服务的</w:t>
      </w:r>
      <w:r>
        <w:rPr>
          <w:rFonts w:hint="eastAsia" w:cs="宋体"/>
          <w:b w:val="0"/>
          <w:bCs w:val="0"/>
          <w:szCs w:val="24"/>
          <w:lang w:val="en-US" w:eastAsia="zh-CN"/>
        </w:rPr>
        <w:t>，每逾期1天，成交供应商应向采购人支付合同总额 2％的违约金，若因此给采购人造成损失的，成交供应商还应赔偿采购人所受的损失。</w:t>
      </w:r>
    </w:p>
    <w:p w14:paraId="25C56794">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bCs/>
          <w:szCs w:val="24"/>
          <w:lang w:val="en-US" w:eastAsia="zh-CN"/>
        </w:rPr>
      </w:pPr>
      <w:r>
        <w:rPr>
          <w:rFonts w:hint="eastAsia" w:ascii="宋体" w:hAnsi="宋体" w:eastAsia="宋体" w:cs="宋体"/>
          <w:b/>
          <w:bCs/>
          <w:kern w:val="0"/>
          <w:sz w:val="24"/>
          <w:szCs w:val="24"/>
          <w:lang w:val="en-US" w:eastAsia="zh-CN" w:bidi="ar-SA"/>
        </w:rPr>
        <w:t>1</w:t>
      </w:r>
      <w:r>
        <w:rPr>
          <w:rFonts w:hint="eastAsia" w:cs="宋体"/>
          <w:b/>
          <w:bCs/>
          <w:kern w:val="0"/>
          <w:sz w:val="24"/>
          <w:szCs w:val="24"/>
          <w:lang w:val="en-US" w:eastAsia="zh-CN" w:bidi="ar-SA"/>
        </w:rPr>
        <w:t>4</w:t>
      </w:r>
      <w:r>
        <w:rPr>
          <w:rFonts w:hint="eastAsia" w:ascii="宋体" w:hAnsi="宋体" w:eastAsia="宋体" w:cs="宋体"/>
          <w:b/>
          <w:bCs/>
          <w:kern w:val="0"/>
          <w:sz w:val="24"/>
          <w:szCs w:val="24"/>
          <w:lang w:val="en-US" w:eastAsia="zh-CN" w:bidi="ar-SA"/>
        </w:rPr>
        <w:t>、</w:t>
      </w:r>
      <w:r>
        <w:rPr>
          <w:rFonts w:hint="eastAsia" w:cs="宋体"/>
          <w:b/>
          <w:bCs/>
          <w:szCs w:val="24"/>
          <w:lang w:val="en-US" w:eastAsia="zh-CN"/>
        </w:rPr>
        <w:t>争议处理：</w:t>
      </w:r>
    </w:p>
    <w:p w14:paraId="3E2D825F">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cs="宋体"/>
          <w:b w:val="0"/>
          <w:bCs w:val="0"/>
          <w:szCs w:val="24"/>
          <w:lang w:val="en-US" w:eastAsia="zh-CN"/>
        </w:rPr>
      </w:pPr>
      <w:r>
        <w:rPr>
          <w:rFonts w:hint="default" w:ascii="宋体" w:hAnsi="宋体" w:eastAsia="宋体" w:cs="宋体"/>
          <w:b w:val="0"/>
          <w:bCs w:val="0"/>
          <w:kern w:val="0"/>
          <w:sz w:val="24"/>
          <w:szCs w:val="24"/>
          <w:lang w:val="en-US" w:eastAsia="zh-CN" w:bidi="ar-SA"/>
        </w:rPr>
        <w:t>1</w:t>
      </w:r>
      <w:r>
        <w:rPr>
          <w:rFonts w:hint="eastAsia" w:cs="宋体"/>
          <w:b w:val="0"/>
          <w:bCs w:val="0"/>
          <w:szCs w:val="24"/>
          <w:lang w:val="en-US" w:eastAsia="zh-CN"/>
        </w:rPr>
        <w:t>4</w:t>
      </w:r>
      <w:r>
        <w:rPr>
          <w:rFonts w:hint="default" w:cs="宋体"/>
          <w:b w:val="0"/>
          <w:bCs w:val="0"/>
          <w:szCs w:val="24"/>
          <w:lang w:val="en-US" w:eastAsia="zh-CN"/>
        </w:rPr>
        <w:t>.1友好协商：在合同履行过程中，如双方发生争议，应首先通过友好协商的方式解决。协商过程中，双方应坦诚相待，充分沟通，以达成双方都能接受的解决方案。</w:t>
      </w:r>
    </w:p>
    <w:p w14:paraId="63C08A36">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cs="宋体"/>
          <w:b w:val="0"/>
          <w:bCs w:val="0"/>
          <w:szCs w:val="24"/>
          <w:lang w:val="en-US" w:eastAsia="zh-CN"/>
        </w:rPr>
      </w:pPr>
      <w:r>
        <w:rPr>
          <w:rFonts w:hint="eastAsia" w:cs="宋体"/>
          <w:b w:val="0"/>
          <w:bCs w:val="0"/>
          <w:szCs w:val="24"/>
          <w:lang w:val="en-US" w:eastAsia="zh-CN"/>
        </w:rPr>
        <w:t>14</w:t>
      </w:r>
      <w:r>
        <w:rPr>
          <w:rFonts w:hint="default" w:cs="宋体"/>
          <w:b w:val="0"/>
          <w:bCs w:val="0"/>
          <w:szCs w:val="24"/>
          <w:lang w:val="en-US" w:eastAsia="zh-CN"/>
        </w:rPr>
        <w:t>.2调解或仲裁：如双方无法通过友好协商解决争议，可提交至双方认可的调解机构进行调解，或按照合同约定提交至仲裁机构进行仲裁。仲裁裁决具有最终的法律效力，双方应遵守并履行仲裁裁决。</w:t>
      </w:r>
    </w:p>
    <w:p w14:paraId="63683C1E">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cs="宋体"/>
          <w:b w:val="0"/>
          <w:bCs w:val="0"/>
          <w:szCs w:val="24"/>
          <w:lang w:val="en-US" w:eastAsia="zh-CN"/>
        </w:rPr>
      </w:pPr>
      <w:r>
        <w:rPr>
          <w:rFonts w:hint="eastAsia" w:cs="宋体"/>
          <w:b w:val="0"/>
          <w:bCs w:val="0"/>
          <w:szCs w:val="24"/>
          <w:lang w:val="en-US" w:eastAsia="zh-CN"/>
        </w:rPr>
        <w:t>14</w:t>
      </w:r>
      <w:r>
        <w:rPr>
          <w:rFonts w:hint="default" w:cs="宋体"/>
          <w:b w:val="0"/>
          <w:bCs w:val="0"/>
          <w:szCs w:val="24"/>
          <w:lang w:val="en-US" w:eastAsia="zh-CN"/>
        </w:rPr>
        <w:t>.3诉讼：若合同双方未约定调解或仲裁方式解决争议，或调解、仲裁无果，双方均有权向具有管辖权的人民法院提起诉讼。</w:t>
      </w:r>
    </w:p>
    <w:p w14:paraId="2FFD1D27">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cs="宋体"/>
          <w:b w:val="0"/>
          <w:bCs w:val="0"/>
          <w:szCs w:val="24"/>
          <w:lang w:val="en-US" w:eastAsia="zh-CN"/>
        </w:rPr>
      </w:pPr>
      <w:r>
        <w:rPr>
          <w:rFonts w:hint="eastAsia" w:cs="宋体"/>
          <w:b w:val="0"/>
          <w:bCs w:val="0"/>
          <w:szCs w:val="24"/>
          <w:lang w:val="en-US" w:eastAsia="zh-CN"/>
        </w:rPr>
        <w:t>14</w:t>
      </w:r>
      <w:r>
        <w:rPr>
          <w:rFonts w:hint="default" w:cs="宋体"/>
          <w:b w:val="0"/>
          <w:bCs w:val="0"/>
          <w:szCs w:val="24"/>
          <w:lang w:val="en-US" w:eastAsia="zh-CN"/>
        </w:rPr>
        <w:t>.4争议解决期间的合同履行：在争议解决期间，双方应继续履行合同中未受争议的部分。若争议涉及合同主要义务，且争议解决时间较长，双方可协商暂停履行相关义务，待争议解决后再恢复履行。</w:t>
      </w:r>
    </w:p>
    <w:p w14:paraId="4168C4BC">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cs="宋体"/>
          <w:b w:val="0"/>
          <w:bCs w:val="0"/>
          <w:szCs w:val="24"/>
          <w:lang w:val="en-US" w:eastAsia="zh-CN"/>
        </w:rPr>
      </w:pPr>
      <w:r>
        <w:rPr>
          <w:rFonts w:hint="eastAsia" w:cs="宋体"/>
          <w:b w:val="0"/>
          <w:bCs w:val="0"/>
          <w:szCs w:val="24"/>
          <w:lang w:val="en-US" w:eastAsia="zh-CN"/>
        </w:rPr>
        <w:t>14</w:t>
      </w:r>
      <w:r>
        <w:rPr>
          <w:rFonts w:hint="default" w:cs="宋体"/>
          <w:b w:val="0"/>
          <w:bCs w:val="0"/>
          <w:szCs w:val="24"/>
          <w:lang w:val="en-US" w:eastAsia="zh-CN"/>
        </w:rPr>
        <w:t>.5证据保全：在争议解决过程中，双方应妥善保管与争议有关的证据材料，以便在需要时提交给调解机构、仲裁机构或法院。</w:t>
      </w:r>
    </w:p>
    <w:p w14:paraId="26E8123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eastAsia="宋体"/>
          <w:szCs w:val="24"/>
          <w:lang w:eastAsia="zh-CN"/>
        </w:rPr>
      </w:pPr>
      <w:r>
        <w:rPr>
          <w:rFonts w:hint="eastAsia" w:cs="宋体"/>
          <w:b/>
          <w:bCs/>
          <w:szCs w:val="24"/>
          <w:lang w:val="en-US" w:eastAsia="zh-CN"/>
        </w:rPr>
        <w:t>15</w:t>
      </w:r>
      <w:r>
        <w:rPr>
          <w:rFonts w:hint="eastAsia" w:ascii="宋体" w:hAnsi="宋体" w:cs="宋体"/>
          <w:b/>
          <w:bCs/>
          <w:szCs w:val="24"/>
        </w:rPr>
        <w:t>、其他事项</w:t>
      </w:r>
      <w:r>
        <w:rPr>
          <w:rFonts w:hint="eastAsia" w:cs="宋体"/>
          <w:b/>
          <w:bCs/>
          <w:szCs w:val="24"/>
          <w:lang w:eastAsia="zh-CN"/>
        </w:rPr>
        <w:t>：</w:t>
      </w:r>
    </w:p>
    <w:p w14:paraId="3DF7069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15</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15</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15</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7473D12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5</w:t>
      </w:r>
      <w:r>
        <w:rPr>
          <w:rFonts w:hint="eastAsia" w:ascii="宋体" w:hAnsi="宋体" w:eastAsia="宋体" w:cs="宋体"/>
          <w:b w:val="0"/>
          <w:bCs w:val="0"/>
          <w:sz w:val="24"/>
          <w:szCs w:val="24"/>
          <w:lang w:val="en-US" w:eastAsia="zh-CN"/>
        </w:rPr>
        <w:t>.4供应商不得存在虚假应标谋取中标等行为，一经发现将取消其成交资格，并对其追究相关法律的责任。若第一成交候选人因不可抗力或自身原因提出不能履行合同，采购人可以重新招标。</w:t>
      </w:r>
    </w:p>
    <w:p w14:paraId="4D4042A8">
      <w:pPr>
        <w:widowControl/>
        <w:spacing w:line="360" w:lineRule="auto"/>
        <w:jc w:val="center"/>
        <w:rPr>
          <w:rFonts w:hint="eastAsia" w:ascii="宋体" w:hAnsi="宋体"/>
          <w:b/>
          <w:bCs/>
          <w:color w:val="auto"/>
          <w:sz w:val="36"/>
          <w:szCs w:val="36"/>
          <w:highlight w:val="none"/>
        </w:rPr>
      </w:pPr>
    </w:p>
    <w:p w14:paraId="250483C2">
      <w:pPr>
        <w:widowControl/>
        <w:spacing w:line="360" w:lineRule="auto"/>
        <w:jc w:val="center"/>
        <w:rPr>
          <w:rFonts w:hint="eastAsia" w:ascii="宋体" w:hAnsi="宋体"/>
          <w:b/>
          <w:bCs/>
          <w:color w:val="auto"/>
          <w:sz w:val="36"/>
          <w:szCs w:val="36"/>
          <w:highlight w:val="none"/>
        </w:rPr>
      </w:pPr>
    </w:p>
    <w:p w14:paraId="17C3965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9"/>
        <w:spacing w:line="360" w:lineRule="auto"/>
        <w:ind w:firstLine="210"/>
        <w:rPr>
          <w:color w:val="auto"/>
          <w:highlight w:val="none"/>
        </w:rPr>
      </w:pPr>
    </w:p>
    <w:p w14:paraId="6326FD37">
      <w:pPr>
        <w:pStyle w:val="5"/>
        <w:spacing w:line="360" w:lineRule="auto"/>
        <w:rPr>
          <w:color w:val="auto"/>
          <w:highlight w:val="none"/>
        </w:rPr>
      </w:pPr>
    </w:p>
    <w:p w14:paraId="3FC45419">
      <w:pPr>
        <w:pStyle w:val="6"/>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5"/>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服务名称</w:t>
            </w:r>
          </w:p>
        </w:tc>
        <w:tc>
          <w:tcPr>
            <w:tcW w:w="2025" w:type="dxa"/>
            <w:vAlign w:val="center"/>
          </w:tcPr>
          <w:p w14:paraId="2DC1373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5"/>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5"/>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5"/>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5"/>
        <w:spacing w:line="360" w:lineRule="auto"/>
        <w:ind w:firstLine="480"/>
        <w:jc w:val="right"/>
        <w:rPr>
          <w:rFonts w:hint="default" w:ascii="宋体" w:hAnsi="宋体" w:cs="宋体"/>
          <w:color w:val="auto"/>
          <w:sz w:val="24"/>
          <w:szCs w:val="24"/>
          <w:highlight w:val="none"/>
        </w:rPr>
      </w:pPr>
    </w:p>
    <w:p w14:paraId="42823BB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5"/>
        <w:spacing w:line="360" w:lineRule="auto"/>
        <w:jc w:val="both"/>
        <w:rPr>
          <w:rFonts w:hint="default" w:ascii="宋体" w:hAnsi="宋体" w:cs="宋体"/>
          <w:color w:val="auto"/>
          <w:sz w:val="24"/>
          <w:szCs w:val="24"/>
          <w:highlight w:val="none"/>
        </w:rPr>
      </w:pPr>
    </w:p>
    <w:p w14:paraId="379D4CC4">
      <w:pPr>
        <w:pStyle w:val="35"/>
        <w:spacing w:line="360" w:lineRule="auto"/>
        <w:jc w:val="both"/>
        <w:rPr>
          <w:rFonts w:hint="default" w:ascii="宋体" w:hAnsi="宋体" w:cs="宋体"/>
          <w:color w:val="auto"/>
          <w:sz w:val="24"/>
          <w:szCs w:val="24"/>
          <w:highlight w:val="none"/>
        </w:rPr>
      </w:pPr>
    </w:p>
    <w:p w14:paraId="4317D954">
      <w:pPr>
        <w:pStyle w:val="35"/>
        <w:spacing w:line="360" w:lineRule="auto"/>
        <w:jc w:val="both"/>
        <w:rPr>
          <w:rFonts w:hint="default" w:ascii="宋体" w:hAnsi="宋体" w:cs="宋体"/>
          <w:color w:val="auto"/>
          <w:sz w:val="24"/>
          <w:szCs w:val="24"/>
          <w:highlight w:val="none"/>
        </w:rPr>
      </w:pPr>
    </w:p>
    <w:p w14:paraId="3D668775">
      <w:pPr>
        <w:pStyle w:val="35"/>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6"/>
        <w:spacing w:line="360" w:lineRule="auto"/>
        <w:ind w:left="0" w:leftChars="0"/>
        <w:rPr>
          <w:rFonts w:ascii="宋体" w:hAnsi="宋体" w:cs="宋体"/>
          <w:color w:val="auto"/>
          <w:sz w:val="24"/>
          <w:highlight w:val="none"/>
        </w:rPr>
      </w:pPr>
    </w:p>
    <w:p w14:paraId="1119D3D2">
      <w:pPr>
        <w:pStyle w:val="13"/>
        <w:spacing w:line="360" w:lineRule="auto"/>
        <w:rPr>
          <w:rFonts w:ascii="宋体" w:hAnsi="宋体" w:cs="宋体"/>
          <w:color w:val="auto"/>
          <w:sz w:val="24"/>
          <w:highlight w:val="none"/>
        </w:rPr>
      </w:pPr>
    </w:p>
    <w:p w14:paraId="5321318A">
      <w:pPr>
        <w:pStyle w:val="13"/>
        <w:spacing w:line="360" w:lineRule="auto"/>
        <w:rPr>
          <w:rFonts w:ascii="宋体" w:hAnsi="宋体" w:cs="宋体"/>
          <w:color w:val="auto"/>
          <w:sz w:val="24"/>
          <w:highlight w:val="none"/>
        </w:rPr>
      </w:pPr>
    </w:p>
    <w:p w14:paraId="3C82014B">
      <w:pPr>
        <w:pStyle w:val="13"/>
        <w:spacing w:line="360" w:lineRule="auto"/>
        <w:rPr>
          <w:rFonts w:ascii="宋体" w:hAnsi="宋体" w:cs="宋体"/>
          <w:color w:val="auto"/>
          <w:sz w:val="24"/>
          <w:highlight w:val="none"/>
        </w:rPr>
      </w:pPr>
    </w:p>
    <w:p w14:paraId="3726D4AE">
      <w:pPr>
        <w:pStyle w:val="13"/>
        <w:spacing w:line="360" w:lineRule="auto"/>
        <w:rPr>
          <w:rFonts w:ascii="宋体" w:hAnsi="宋体" w:cs="宋体"/>
          <w:color w:val="auto"/>
          <w:sz w:val="24"/>
          <w:highlight w:val="none"/>
        </w:rPr>
      </w:pPr>
    </w:p>
    <w:p w14:paraId="0F16B34A">
      <w:pPr>
        <w:pStyle w:val="13"/>
        <w:spacing w:line="360" w:lineRule="auto"/>
        <w:rPr>
          <w:rFonts w:ascii="宋体" w:hAnsi="宋体" w:cs="宋体"/>
          <w:color w:val="auto"/>
          <w:sz w:val="24"/>
          <w:highlight w:val="none"/>
        </w:rPr>
      </w:pPr>
    </w:p>
    <w:p w14:paraId="73F56BF6">
      <w:pPr>
        <w:pStyle w:val="13"/>
        <w:spacing w:line="360" w:lineRule="auto"/>
        <w:rPr>
          <w:rFonts w:ascii="宋体" w:hAnsi="宋体" w:cs="宋体"/>
          <w:color w:val="auto"/>
          <w:sz w:val="24"/>
          <w:highlight w:val="none"/>
        </w:rPr>
      </w:pPr>
    </w:p>
    <w:p w14:paraId="61FA2276">
      <w:pPr>
        <w:pStyle w:val="13"/>
        <w:spacing w:line="360" w:lineRule="auto"/>
        <w:rPr>
          <w:rFonts w:ascii="宋体" w:hAnsi="宋体" w:cs="宋体"/>
          <w:color w:val="auto"/>
          <w:sz w:val="24"/>
          <w:highlight w:val="none"/>
        </w:rPr>
      </w:pPr>
    </w:p>
    <w:p w14:paraId="468F1230">
      <w:pPr>
        <w:pStyle w:val="13"/>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6"/>
        <w:spacing w:line="360" w:lineRule="auto"/>
        <w:ind w:left="0" w:leftChars="0"/>
        <w:rPr>
          <w:rFonts w:ascii="宋体" w:hAnsi="宋体" w:cs="宋体"/>
          <w:b/>
          <w:bCs/>
          <w:color w:val="auto"/>
          <w:sz w:val="28"/>
          <w:szCs w:val="28"/>
          <w:highlight w:val="none"/>
        </w:rPr>
      </w:pPr>
    </w:p>
    <w:p w14:paraId="2C71186F">
      <w:pPr>
        <w:pStyle w:val="13"/>
        <w:spacing w:line="360" w:lineRule="auto"/>
        <w:rPr>
          <w:rFonts w:ascii="宋体" w:hAnsi="宋体" w:cs="宋体"/>
          <w:b/>
          <w:bCs/>
          <w:color w:val="auto"/>
          <w:sz w:val="28"/>
          <w:szCs w:val="28"/>
          <w:highlight w:val="none"/>
        </w:rPr>
      </w:pPr>
    </w:p>
    <w:p w14:paraId="0776CC2D">
      <w:pPr>
        <w:pStyle w:val="13"/>
        <w:spacing w:line="360" w:lineRule="auto"/>
        <w:rPr>
          <w:rFonts w:ascii="宋体" w:hAnsi="宋体" w:cs="宋体"/>
          <w:b/>
          <w:bCs/>
          <w:color w:val="auto"/>
          <w:sz w:val="28"/>
          <w:szCs w:val="28"/>
          <w:highlight w:val="none"/>
        </w:rPr>
      </w:pPr>
    </w:p>
    <w:p w14:paraId="79EF7A83">
      <w:pPr>
        <w:pStyle w:val="6"/>
        <w:spacing w:line="360" w:lineRule="auto"/>
        <w:ind w:left="0" w:leftChars="0"/>
        <w:rPr>
          <w:rFonts w:ascii="宋体" w:hAnsi="宋体" w:cs="宋体"/>
          <w:b/>
          <w:bCs/>
          <w:color w:val="auto"/>
          <w:sz w:val="28"/>
          <w:szCs w:val="28"/>
          <w:highlight w:val="none"/>
        </w:rPr>
      </w:pPr>
    </w:p>
    <w:p w14:paraId="06B2F9FD">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3"/>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3"/>
        <w:spacing w:line="360" w:lineRule="auto"/>
        <w:rPr>
          <w:rFonts w:ascii="宋体" w:hAnsi="宋体" w:cs="宋体"/>
          <w:b/>
          <w:bCs/>
          <w:color w:val="auto"/>
          <w:sz w:val="28"/>
          <w:szCs w:val="28"/>
          <w:highlight w:val="none"/>
        </w:rPr>
      </w:pPr>
    </w:p>
    <w:p w14:paraId="31F6CFBA">
      <w:pPr>
        <w:pStyle w:val="6"/>
        <w:spacing w:line="360" w:lineRule="auto"/>
        <w:ind w:left="0" w:leftChars="0"/>
        <w:jc w:val="center"/>
        <w:rPr>
          <w:rFonts w:ascii="宋体" w:hAnsi="宋体" w:cs="宋体"/>
          <w:b/>
          <w:bCs/>
          <w:color w:val="auto"/>
          <w:sz w:val="28"/>
          <w:szCs w:val="28"/>
          <w:highlight w:val="none"/>
        </w:rPr>
      </w:pPr>
    </w:p>
    <w:p w14:paraId="37897154">
      <w:pPr>
        <w:pStyle w:val="6"/>
        <w:spacing w:line="360" w:lineRule="auto"/>
        <w:ind w:left="0" w:leftChars="0"/>
        <w:jc w:val="center"/>
        <w:rPr>
          <w:rFonts w:ascii="宋体" w:hAnsi="宋体" w:cs="宋体"/>
          <w:b/>
          <w:bCs/>
          <w:color w:val="auto"/>
          <w:sz w:val="28"/>
          <w:szCs w:val="28"/>
          <w:highlight w:val="none"/>
        </w:rPr>
      </w:pPr>
    </w:p>
    <w:p w14:paraId="19D064AE">
      <w:pPr>
        <w:pStyle w:val="6"/>
        <w:spacing w:line="360" w:lineRule="auto"/>
        <w:ind w:left="0" w:leftChars="0"/>
        <w:jc w:val="center"/>
        <w:rPr>
          <w:rFonts w:ascii="宋体" w:hAnsi="宋体" w:cs="宋体"/>
          <w:b/>
          <w:bCs/>
          <w:color w:val="auto"/>
          <w:sz w:val="28"/>
          <w:szCs w:val="28"/>
          <w:highlight w:val="none"/>
        </w:rPr>
      </w:pPr>
    </w:p>
    <w:p w14:paraId="0ED390FA">
      <w:pPr>
        <w:pStyle w:val="6"/>
        <w:spacing w:line="360" w:lineRule="auto"/>
        <w:ind w:left="0" w:leftChars="0"/>
        <w:jc w:val="center"/>
        <w:rPr>
          <w:rFonts w:ascii="宋体" w:hAnsi="宋体" w:cs="宋体"/>
          <w:b/>
          <w:bCs/>
          <w:color w:val="auto"/>
          <w:sz w:val="28"/>
          <w:szCs w:val="28"/>
          <w:highlight w:val="none"/>
        </w:rPr>
      </w:pPr>
    </w:p>
    <w:p w14:paraId="3C84BE07">
      <w:pPr>
        <w:pStyle w:val="6"/>
        <w:spacing w:line="360" w:lineRule="auto"/>
        <w:ind w:left="0" w:leftChars="0"/>
        <w:jc w:val="center"/>
        <w:rPr>
          <w:rFonts w:ascii="宋体" w:hAnsi="宋体" w:cs="宋体"/>
          <w:b/>
          <w:bCs/>
          <w:color w:val="auto"/>
          <w:sz w:val="28"/>
          <w:szCs w:val="28"/>
          <w:highlight w:val="none"/>
        </w:rPr>
      </w:pPr>
    </w:p>
    <w:p w14:paraId="64E4F662">
      <w:pPr>
        <w:pStyle w:val="6"/>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6"/>
        <w:spacing w:line="360" w:lineRule="auto"/>
        <w:ind w:left="0" w:leftChars="0"/>
        <w:jc w:val="center"/>
        <w:rPr>
          <w:rFonts w:ascii="宋体" w:hAnsi="宋体" w:cs="宋体"/>
          <w:b/>
          <w:bCs/>
          <w:color w:val="auto"/>
          <w:sz w:val="28"/>
          <w:szCs w:val="28"/>
          <w:highlight w:val="none"/>
        </w:rPr>
      </w:pPr>
    </w:p>
    <w:p w14:paraId="7CEA87EF">
      <w:pPr>
        <w:pStyle w:val="6"/>
        <w:spacing w:line="360" w:lineRule="auto"/>
        <w:ind w:left="0" w:leftChars="0"/>
        <w:jc w:val="center"/>
        <w:rPr>
          <w:rFonts w:ascii="宋体" w:hAnsi="宋体" w:cs="宋体"/>
          <w:b/>
          <w:bCs/>
          <w:color w:val="auto"/>
          <w:sz w:val="28"/>
          <w:szCs w:val="28"/>
          <w:highlight w:val="none"/>
        </w:rPr>
      </w:pPr>
    </w:p>
    <w:p w14:paraId="331B2308">
      <w:pPr>
        <w:pStyle w:val="6"/>
        <w:spacing w:line="360" w:lineRule="auto"/>
        <w:ind w:left="0" w:leftChars="0"/>
        <w:jc w:val="center"/>
        <w:rPr>
          <w:rFonts w:ascii="宋体" w:hAnsi="宋体" w:cs="宋体"/>
          <w:b/>
          <w:bCs/>
          <w:color w:val="auto"/>
          <w:sz w:val="28"/>
          <w:szCs w:val="28"/>
          <w:highlight w:val="none"/>
        </w:rPr>
      </w:pPr>
    </w:p>
    <w:p w14:paraId="574F2A9B">
      <w:pPr>
        <w:pStyle w:val="6"/>
        <w:spacing w:line="360" w:lineRule="auto"/>
        <w:ind w:left="0" w:leftChars="0"/>
        <w:jc w:val="center"/>
        <w:rPr>
          <w:rFonts w:ascii="宋体" w:hAnsi="宋体" w:cs="宋体"/>
          <w:b/>
          <w:bCs/>
          <w:color w:val="auto"/>
          <w:sz w:val="28"/>
          <w:szCs w:val="28"/>
          <w:highlight w:val="none"/>
        </w:rPr>
      </w:pPr>
    </w:p>
    <w:p w14:paraId="3DB00B5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3"/>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3"/>
        <w:spacing w:line="360" w:lineRule="auto"/>
        <w:rPr>
          <w:rFonts w:ascii="宋体" w:hAnsi="宋体" w:cs="宋体"/>
          <w:b/>
          <w:bCs/>
          <w:color w:val="auto"/>
          <w:sz w:val="28"/>
          <w:szCs w:val="28"/>
          <w:highlight w:val="none"/>
        </w:rPr>
      </w:pPr>
    </w:p>
    <w:p w14:paraId="22A9EDD9">
      <w:pPr>
        <w:pStyle w:val="13"/>
        <w:spacing w:line="360" w:lineRule="auto"/>
        <w:rPr>
          <w:color w:val="auto"/>
          <w:highlight w:val="none"/>
        </w:rPr>
      </w:pPr>
    </w:p>
    <w:p w14:paraId="01C7C78E">
      <w:pPr>
        <w:pStyle w:val="13"/>
        <w:spacing w:line="360" w:lineRule="auto"/>
        <w:rPr>
          <w:color w:val="auto"/>
          <w:highlight w:val="none"/>
        </w:rPr>
      </w:pPr>
    </w:p>
    <w:p w14:paraId="35556AE7">
      <w:pPr>
        <w:pStyle w:val="13"/>
        <w:spacing w:line="360" w:lineRule="auto"/>
        <w:rPr>
          <w:color w:val="auto"/>
          <w:highlight w:val="none"/>
        </w:rPr>
      </w:pPr>
    </w:p>
    <w:p w14:paraId="4E1A6E85">
      <w:pPr>
        <w:pStyle w:val="13"/>
        <w:spacing w:line="360" w:lineRule="auto"/>
        <w:rPr>
          <w:color w:val="auto"/>
          <w:highlight w:val="none"/>
        </w:rPr>
      </w:pPr>
    </w:p>
    <w:p w14:paraId="46AD2750">
      <w:pPr>
        <w:pStyle w:val="13"/>
        <w:spacing w:line="360" w:lineRule="auto"/>
        <w:rPr>
          <w:color w:val="auto"/>
          <w:highlight w:val="none"/>
        </w:rPr>
      </w:pPr>
    </w:p>
    <w:p w14:paraId="1913FC5F">
      <w:pPr>
        <w:pStyle w:val="13"/>
        <w:spacing w:line="360" w:lineRule="auto"/>
        <w:rPr>
          <w:color w:val="auto"/>
          <w:highlight w:val="none"/>
        </w:rPr>
      </w:pPr>
    </w:p>
    <w:p w14:paraId="61F60254">
      <w:pPr>
        <w:pStyle w:val="13"/>
        <w:spacing w:line="360" w:lineRule="auto"/>
        <w:rPr>
          <w:color w:val="auto"/>
          <w:highlight w:val="none"/>
        </w:rPr>
      </w:pPr>
    </w:p>
    <w:p w14:paraId="02CCF8EF">
      <w:pPr>
        <w:pStyle w:val="13"/>
        <w:spacing w:line="360" w:lineRule="auto"/>
        <w:rPr>
          <w:color w:val="auto"/>
          <w:highlight w:val="none"/>
        </w:rPr>
      </w:pPr>
    </w:p>
    <w:p w14:paraId="40D9D294">
      <w:pPr>
        <w:pStyle w:val="13"/>
        <w:spacing w:line="360" w:lineRule="auto"/>
        <w:rPr>
          <w:color w:val="auto"/>
          <w:highlight w:val="none"/>
        </w:rPr>
      </w:pPr>
    </w:p>
    <w:p w14:paraId="26CFA76D">
      <w:pPr>
        <w:pStyle w:val="13"/>
        <w:spacing w:line="360" w:lineRule="auto"/>
        <w:rPr>
          <w:color w:val="auto"/>
          <w:highlight w:val="none"/>
        </w:rPr>
      </w:pPr>
    </w:p>
    <w:p w14:paraId="6236DE25">
      <w:pPr>
        <w:pStyle w:val="13"/>
        <w:spacing w:line="360" w:lineRule="auto"/>
        <w:rPr>
          <w:color w:val="auto"/>
          <w:highlight w:val="none"/>
        </w:rPr>
      </w:pPr>
    </w:p>
    <w:p w14:paraId="3DC90531">
      <w:pPr>
        <w:pStyle w:val="13"/>
        <w:spacing w:line="360" w:lineRule="auto"/>
        <w:rPr>
          <w:color w:val="auto"/>
          <w:highlight w:val="none"/>
        </w:rPr>
      </w:pPr>
    </w:p>
    <w:p w14:paraId="6810E63F">
      <w:pPr>
        <w:pStyle w:val="13"/>
        <w:spacing w:line="360" w:lineRule="auto"/>
        <w:rPr>
          <w:color w:val="auto"/>
          <w:highlight w:val="none"/>
        </w:rPr>
      </w:pPr>
    </w:p>
    <w:p w14:paraId="2D859747">
      <w:pPr>
        <w:pStyle w:val="13"/>
        <w:spacing w:line="360" w:lineRule="auto"/>
        <w:rPr>
          <w:color w:val="auto"/>
          <w:highlight w:val="none"/>
        </w:rPr>
      </w:pPr>
    </w:p>
    <w:p w14:paraId="1A9B0A73">
      <w:pPr>
        <w:pStyle w:val="13"/>
        <w:spacing w:line="360" w:lineRule="auto"/>
        <w:rPr>
          <w:color w:val="auto"/>
          <w:highlight w:val="none"/>
        </w:rPr>
      </w:pPr>
    </w:p>
    <w:p w14:paraId="09BAEE9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6"/>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3"/>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6"/>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6"/>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6"/>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6"/>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6"/>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906"/>
        <w:gridCol w:w="1648"/>
        <w:gridCol w:w="1095"/>
        <w:gridCol w:w="1801"/>
        <w:gridCol w:w="1924"/>
        <w:gridCol w:w="1924"/>
      </w:tblGrid>
      <w:tr w14:paraId="578F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39" w:type="dxa"/>
            <w:vAlign w:val="center"/>
          </w:tcPr>
          <w:p w14:paraId="6EC853A3">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906" w:type="dxa"/>
            <w:vAlign w:val="center"/>
          </w:tcPr>
          <w:p w14:paraId="78DDEA58">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648" w:type="dxa"/>
            <w:vAlign w:val="center"/>
          </w:tcPr>
          <w:p w14:paraId="224954FE">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服务名称</w:t>
            </w:r>
          </w:p>
        </w:tc>
        <w:tc>
          <w:tcPr>
            <w:tcW w:w="1095" w:type="dxa"/>
            <w:vAlign w:val="center"/>
          </w:tcPr>
          <w:p w14:paraId="01BA6441">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801" w:type="dxa"/>
            <w:vAlign w:val="center"/>
          </w:tcPr>
          <w:p w14:paraId="38B8ED99">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1924" w:type="dxa"/>
            <w:vAlign w:val="center"/>
          </w:tcPr>
          <w:p w14:paraId="58C53318">
            <w:pPr>
              <w:pStyle w:val="9"/>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eastAsia="宋体"/>
                <w:color w:val="auto"/>
                <w:kern w:val="2"/>
                <w:sz w:val="24"/>
                <w:highlight w:val="none"/>
                <w:lang w:val="en-US" w:eastAsia="zh-CN"/>
              </w:rPr>
              <w:t>投标单价</w:t>
            </w:r>
          </w:p>
        </w:tc>
        <w:tc>
          <w:tcPr>
            <w:tcW w:w="1924" w:type="dxa"/>
            <w:vAlign w:val="center"/>
          </w:tcPr>
          <w:p w14:paraId="372C4D38">
            <w:pPr>
              <w:pStyle w:val="9"/>
              <w:snapToGrid w:val="0"/>
              <w:spacing w:line="240" w:lineRule="auto"/>
              <w:ind w:left="-105" w:leftChars="-50" w:right="-105" w:rightChars="-50"/>
              <w:jc w:val="center"/>
              <w:rPr>
                <w:rFonts w:hint="eastAsia" w:hAnsi="宋体"/>
                <w:color w:val="auto"/>
                <w:kern w:val="2"/>
                <w:sz w:val="24"/>
                <w:highlight w:val="none"/>
                <w:lang w:val="en-US" w:eastAsia="zh-CN"/>
              </w:rPr>
            </w:pPr>
            <w:r>
              <w:rPr>
                <w:rFonts w:hint="eastAsia" w:hAnsi="宋体"/>
                <w:color w:val="auto"/>
                <w:kern w:val="2"/>
                <w:sz w:val="24"/>
                <w:highlight w:val="none"/>
                <w:lang w:val="en-US" w:eastAsia="zh-CN"/>
              </w:rPr>
              <w:t>投标总价</w:t>
            </w:r>
          </w:p>
        </w:tc>
      </w:tr>
      <w:tr w14:paraId="4323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839"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906" w:type="dxa"/>
            <w:vAlign w:val="center"/>
          </w:tcPr>
          <w:p w14:paraId="087196A1">
            <w:pPr>
              <w:snapToGrid w:val="0"/>
              <w:spacing w:line="240" w:lineRule="auto"/>
              <w:jc w:val="center"/>
              <w:rPr>
                <w:rFonts w:ascii="宋体" w:hAnsi="宋体"/>
                <w:color w:val="auto"/>
                <w:sz w:val="24"/>
                <w:highlight w:val="none"/>
              </w:rPr>
            </w:pPr>
          </w:p>
        </w:tc>
        <w:tc>
          <w:tcPr>
            <w:tcW w:w="1648" w:type="dxa"/>
            <w:vAlign w:val="center"/>
          </w:tcPr>
          <w:p w14:paraId="62261F02">
            <w:pPr>
              <w:snapToGrid w:val="0"/>
              <w:spacing w:line="240" w:lineRule="auto"/>
              <w:jc w:val="center"/>
              <w:rPr>
                <w:rFonts w:ascii="宋体" w:hAnsi="宋体"/>
                <w:color w:val="auto"/>
                <w:sz w:val="24"/>
                <w:highlight w:val="none"/>
              </w:rPr>
            </w:pPr>
          </w:p>
        </w:tc>
        <w:tc>
          <w:tcPr>
            <w:tcW w:w="1095" w:type="dxa"/>
            <w:vAlign w:val="center"/>
          </w:tcPr>
          <w:p w14:paraId="205748A0">
            <w:pPr>
              <w:snapToGrid w:val="0"/>
              <w:spacing w:line="240" w:lineRule="auto"/>
              <w:jc w:val="center"/>
              <w:rPr>
                <w:rFonts w:ascii="宋体" w:hAnsi="宋体"/>
                <w:color w:val="auto"/>
                <w:sz w:val="24"/>
                <w:highlight w:val="none"/>
              </w:rPr>
            </w:pPr>
          </w:p>
        </w:tc>
        <w:tc>
          <w:tcPr>
            <w:tcW w:w="1801" w:type="dxa"/>
            <w:vAlign w:val="center"/>
          </w:tcPr>
          <w:p w14:paraId="5F9E2280">
            <w:pPr>
              <w:snapToGrid w:val="0"/>
              <w:spacing w:line="240" w:lineRule="auto"/>
              <w:jc w:val="center"/>
              <w:rPr>
                <w:rFonts w:ascii="宋体" w:hAnsi="宋体" w:cs="宋体"/>
                <w:color w:val="auto"/>
                <w:kern w:val="0"/>
                <w:sz w:val="24"/>
                <w:highlight w:val="none"/>
              </w:rPr>
            </w:pPr>
          </w:p>
        </w:tc>
        <w:tc>
          <w:tcPr>
            <w:tcW w:w="1924" w:type="dxa"/>
            <w:vAlign w:val="center"/>
          </w:tcPr>
          <w:p w14:paraId="2F9659AC">
            <w:pPr>
              <w:widowControl/>
              <w:spacing w:line="240" w:lineRule="auto"/>
              <w:jc w:val="left"/>
              <w:rPr>
                <w:rFonts w:ascii="宋体" w:hAnsi="宋体"/>
                <w:color w:val="auto"/>
                <w:sz w:val="24"/>
                <w:highlight w:val="none"/>
              </w:rPr>
            </w:pPr>
          </w:p>
        </w:tc>
        <w:tc>
          <w:tcPr>
            <w:tcW w:w="1924" w:type="dxa"/>
            <w:vAlign w:val="center"/>
          </w:tcPr>
          <w:p w14:paraId="4DFD41D2">
            <w:pPr>
              <w:widowControl/>
              <w:spacing w:line="240" w:lineRule="auto"/>
              <w:jc w:val="left"/>
              <w:rPr>
                <w:rFonts w:ascii="宋体" w:hAnsi="宋体"/>
                <w:color w:val="auto"/>
                <w:sz w:val="24"/>
                <w:highlight w:val="none"/>
              </w:rPr>
            </w:pPr>
          </w:p>
        </w:tc>
      </w:tr>
    </w:tbl>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2"/>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2BC2FB5"/>
    <w:rsid w:val="03511AD9"/>
    <w:rsid w:val="03ED3BD7"/>
    <w:rsid w:val="046E6DD0"/>
    <w:rsid w:val="047E5946"/>
    <w:rsid w:val="04C91366"/>
    <w:rsid w:val="05017C52"/>
    <w:rsid w:val="056025B0"/>
    <w:rsid w:val="05B64224"/>
    <w:rsid w:val="061C715B"/>
    <w:rsid w:val="0696261C"/>
    <w:rsid w:val="07702EBF"/>
    <w:rsid w:val="08293E73"/>
    <w:rsid w:val="09A06EBC"/>
    <w:rsid w:val="0A482682"/>
    <w:rsid w:val="0AF75143"/>
    <w:rsid w:val="0B043CFB"/>
    <w:rsid w:val="0CA2647A"/>
    <w:rsid w:val="0D2167C4"/>
    <w:rsid w:val="0D2D3085"/>
    <w:rsid w:val="0DAA7832"/>
    <w:rsid w:val="0DD979BE"/>
    <w:rsid w:val="0E0D1416"/>
    <w:rsid w:val="0F511AAE"/>
    <w:rsid w:val="0FBD7DE5"/>
    <w:rsid w:val="10362DC0"/>
    <w:rsid w:val="10CE3388"/>
    <w:rsid w:val="10E42CCD"/>
    <w:rsid w:val="11790FDD"/>
    <w:rsid w:val="11AD4ADB"/>
    <w:rsid w:val="126445BB"/>
    <w:rsid w:val="14DD66A2"/>
    <w:rsid w:val="15512530"/>
    <w:rsid w:val="15EB52EB"/>
    <w:rsid w:val="164556E1"/>
    <w:rsid w:val="16810234"/>
    <w:rsid w:val="17254BB9"/>
    <w:rsid w:val="175D4ED0"/>
    <w:rsid w:val="17A728DB"/>
    <w:rsid w:val="19121A44"/>
    <w:rsid w:val="192817FA"/>
    <w:rsid w:val="199476C8"/>
    <w:rsid w:val="19C44ADF"/>
    <w:rsid w:val="19F043F2"/>
    <w:rsid w:val="1A0F193E"/>
    <w:rsid w:val="1A512FD2"/>
    <w:rsid w:val="1AA3690C"/>
    <w:rsid w:val="1AC71843"/>
    <w:rsid w:val="1AD364FF"/>
    <w:rsid w:val="1ADE3486"/>
    <w:rsid w:val="1B08700D"/>
    <w:rsid w:val="1B261D69"/>
    <w:rsid w:val="1BF43CB2"/>
    <w:rsid w:val="1C7D1E5D"/>
    <w:rsid w:val="1DAA6E61"/>
    <w:rsid w:val="1E0F3C2B"/>
    <w:rsid w:val="1E2C09AB"/>
    <w:rsid w:val="1E897F61"/>
    <w:rsid w:val="1F1C42EA"/>
    <w:rsid w:val="1F686EFF"/>
    <w:rsid w:val="21150CB8"/>
    <w:rsid w:val="213B2764"/>
    <w:rsid w:val="21657A51"/>
    <w:rsid w:val="231A63AE"/>
    <w:rsid w:val="23B73EA6"/>
    <w:rsid w:val="23F4427C"/>
    <w:rsid w:val="25333A88"/>
    <w:rsid w:val="25776FB2"/>
    <w:rsid w:val="26B047DC"/>
    <w:rsid w:val="26BD4622"/>
    <w:rsid w:val="26C54B2C"/>
    <w:rsid w:val="27BC5F2F"/>
    <w:rsid w:val="27C42B43"/>
    <w:rsid w:val="28C13F2B"/>
    <w:rsid w:val="29FE1773"/>
    <w:rsid w:val="2A604980"/>
    <w:rsid w:val="2A727AC6"/>
    <w:rsid w:val="2B5318E1"/>
    <w:rsid w:val="2BCE7FDF"/>
    <w:rsid w:val="2CC80594"/>
    <w:rsid w:val="2D484F7D"/>
    <w:rsid w:val="2DDE2D69"/>
    <w:rsid w:val="2EBE2586"/>
    <w:rsid w:val="2ECC1930"/>
    <w:rsid w:val="2F4F4B8D"/>
    <w:rsid w:val="312D39F9"/>
    <w:rsid w:val="31B67ACD"/>
    <w:rsid w:val="334D7ECB"/>
    <w:rsid w:val="336F02F9"/>
    <w:rsid w:val="33F45566"/>
    <w:rsid w:val="34160775"/>
    <w:rsid w:val="3444677B"/>
    <w:rsid w:val="3503072C"/>
    <w:rsid w:val="356F257B"/>
    <w:rsid w:val="35786F8C"/>
    <w:rsid w:val="35E30AE8"/>
    <w:rsid w:val="36F5483C"/>
    <w:rsid w:val="389425B0"/>
    <w:rsid w:val="3A0E0140"/>
    <w:rsid w:val="3A9D764F"/>
    <w:rsid w:val="3C65673D"/>
    <w:rsid w:val="3CE851D3"/>
    <w:rsid w:val="3D035E9B"/>
    <w:rsid w:val="3D4B1754"/>
    <w:rsid w:val="3D50551B"/>
    <w:rsid w:val="3D6C7658"/>
    <w:rsid w:val="3DC2628F"/>
    <w:rsid w:val="3DD60AE2"/>
    <w:rsid w:val="3E5C0069"/>
    <w:rsid w:val="3E7A2DAA"/>
    <w:rsid w:val="3E8B1175"/>
    <w:rsid w:val="3EC82FB3"/>
    <w:rsid w:val="3F9E5AC2"/>
    <w:rsid w:val="3FAC28BB"/>
    <w:rsid w:val="3FB97B2C"/>
    <w:rsid w:val="40181D19"/>
    <w:rsid w:val="40BD676E"/>
    <w:rsid w:val="417E75E8"/>
    <w:rsid w:val="41910115"/>
    <w:rsid w:val="41D908F9"/>
    <w:rsid w:val="437E709C"/>
    <w:rsid w:val="438B3EDE"/>
    <w:rsid w:val="4495014D"/>
    <w:rsid w:val="44AD0C2A"/>
    <w:rsid w:val="44F31851"/>
    <w:rsid w:val="45AA573E"/>
    <w:rsid w:val="45B275F5"/>
    <w:rsid w:val="46BC33FE"/>
    <w:rsid w:val="46EE7477"/>
    <w:rsid w:val="47BC0C07"/>
    <w:rsid w:val="489259CA"/>
    <w:rsid w:val="498B3956"/>
    <w:rsid w:val="4AF94EF9"/>
    <w:rsid w:val="4BB0030E"/>
    <w:rsid w:val="4BC53306"/>
    <w:rsid w:val="4C15710C"/>
    <w:rsid w:val="4C2E5FB6"/>
    <w:rsid w:val="4C63431C"/>
    <w:rsid w:val="4C9444D5"/>
    <w:rsid w:val="4CE2174D"/>
    <w:rsid w:val="4D505935"/>
    <w:rsid w:val="4D72372E"/>
    <w:rsid w:val="4E141911"/>
    <w:rsid w:val="4E370E84"/>
    <w:rsid w:val="4EBB778D"/>
    <w:rsid w:val="4F7C19ED"/>
    <w:rsid w:val="4FB142EA"/>
    <w:rsid w:val="506863A4"/>
    <w:rsid w:val="508F27C5"/>
    <w:rsid w:val="50F55D99"/>
    <w:rsid w:val="513814F5"/>
    <w:rsid w:val="513B5867"/>
    <w:rsid w:val="51497716"/>
    <w:rsid w:val="51A30093"/>
    <w:rsid w:val="520457CB"/>
    <w:rsid w:val="522C2C59"/>
    <w:rsid w:val="539774E2"/>
    <w:rsid w:val="53C953AC"/>
    <w:rsid w:val="541A03F5"/>
    <w:rsid w:val="54C5216A"/>
    <w:rsid w:val="54D577A2"/>
    <w:rsid w:val="55357439"/>
    <w:rsid w:val="57286DB3"/>
    <w:rsid w:val="57315742"/>
    <w:rsid w:val="589A572D"/>
    <w:rsid w:val="589B7196"/>
    <w:rsid w:val="58C92DB8"/>
    <w:rsid w:val="590271D1"/>
    <w:rsid w:val="594608FB"/>
    <w:rsid w:val="59AF6DF2"/>
    <w:rsid w:val="5A2C4216"/>
    <w:rsid w:val="5A3433AD"/>
    <w:rsid w:val="5A550A07"/>
    <w:rsid w:val="5B761B8D"/>
    <w:rsid w:val="5BC000BF"/>
    <w:rsid w:val="5D01514B"/>
    <w:rsid w:val="5DBA0782"/>
    <w:rsid w:val="5F2D396D"/>
    <w:rsid w:val="607B3F41"/>
    <w:rsid w:val="60D04179"/>
    <w:rsid w:val="60E47381"/>
    <w:rsid w:val="61C7729B"/>
    <w:rsid w:val="62641034"/>
    <w:rsid w:val="635A2C28"/>
    <w:rsid w:val="6374691F"/>
    <w:rsid w:val="63BA7B71"/>
    <w:rsid w:val="63BC0257"/>
    <w:rsid w:val="643B2EFE"/>
    <w:rsid w:val="644665A5"/>
    <w:rsid w:val="64644411"/>
    <w:rsid w:val="65005919"/>
    <w:rsid w:val="6536434F"/>
    <w:rsid w:val="665A019F"/>
    <w:rsid w:val="6672068F"/>
    <w:rsid w:val="66AD46B9"/>
    <w:rsid w:val="670C6B88"/>
    <w:rsid w:val="67BF44A6"/>
    <w:rsid w:val="68975621"/>
    <w:rsid w:val="689F61CC"/>
    <w:rsid w:val="68AC5DD9"/>
    <w:rsid w:val="68C926A3"/>
    <w:rsid w:val="692857E0"/>
    <w:rsid w:val="69935D1A"/>
    <w:rsid w:val="69E70454"/>
    <w:rsid w:val="6A6C5C24"/>
    <w:rsid w:val="6A832AFB"/>
    <w:rsid w:val="6B5E6742"/>
    <w:rsid w:val="6CD40DBF"/>
    <w:rsid w:val="6D0D24E0"/>
    <w:rsid w:val="6DA050EC"/>
    <w:rsid w:val="6DFD21E5"/>
    <w:rsid w:val="6E0440FB"/>
    <w:rsid w:val="6ED44ED9"/>
    <w:rsid w:val="703B20B6"/>
    <w:rsid w:val="712E2FD5"/>
    <w:rsid w:val="724A1DFC"/>
    <w:rsid w:val="72845AC6"/>
    <w:rsid w:val="72916AD9"/>
    <w:rsid w:val="72F8490A"/>
    <w:rsid w:val="73D239B1"/>
    <w:rsid w:val="73ED08CD"/>
    <w:rsid w:val="73F676A0"/>
    <w:rsid w:val="74120755"/>
    <w:rsid w:val="745C662B"/>
    <w:rsid w:val="74B308B5"/>
    <w:rsid w:val="75247769"/>
    <w:rsid w:val="753F0E71"/>
    <w:rsid w:val="75645785"/>
    <w:rsid w:val="75716A92"/>
    <w:rsid w:val="758D2516"/>
    <w:rsid w:val="7599235F"/>
    <w:rsid w:val="75AE2AF5"/>
    <w:rsid w:val="75BD7F3E"/>
    <w:rsid w:val="7858402F"/>
    <w:rsid w:val="78D50787"/>
    <w:rsid w:val="79B17807"/>
    <w:rsid w:val="79FE2EB5"/>
    <w:rsid w:val="7AE26EA4"/>
    <w:rsid w:val="7B8F04A8"/>
    <w:rsid w:val="7C95557C"/>
    <w:rsid w:val="7D3A4490"/>
    <w:rsid w:val="7D3F0A9F"/>
    <w:rsid w:val="7DC41D70"/>
    <w:rsid w:val="7E417867"/>
    <w:rsid w:val="7F034C8E"/>
    <w:rsid w:val="7FA01934"/>
    <w:rsid w:val="7FA1147B"/>
    <w:rsid w:val="EEFF18BC"/>
    <w:rsid w:val="FAF7CE89"/>
    <w:rsid w:val="FD577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autoRedefine/>
    <w:qFormat/>
    <w:uiPriority w:val="0"/>
    <w:pPr>
      <w:ind w:firstLine="420" w:firstLineChars="100"/>
    </w:pPr>
    <w:rPr>
      <w:rFonts w:ascii="Times New Roman" w:hAnsi="Times New Roman"/>
      <w:szCs w:val="20"/>
    </w:rPr>
  </w:style>
  <w:style w:type="paragraph" w:styleId="20">
    <w:name w:val="Body Text First Indent 2"/>
    <w:basedOn w:val="1"/>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Body Text First Indent 21"/>
    <w:basedOn w:val="28"/>
    <w:qFormat/>
    <w:uiPriority w:val="0"/>
    <w:pPr>
      <w:spacing w:line="340" w:lineRule="exact"/>
      <w:ind w:right="-139" w:hanging="26" w:hangingChars="26"/>
    </w:pPr>
    <w:rPr>
      <w:rFonts w:ascii="华文中宋" w:hAnsi="华文中宋" w:eastAsia="华文中宋"/>
      <w:sz w:val="24"/>
      <w:szCs w:val="20"/>
    </w:rPr>
  </w:style>
  <w:style w:type="paragraph" w:customStyle="1" w:styleId="28">
    <w:name w:val="Body Text Indent1"/>
    <w:basedOn w:val="1"/>
    <w:qFormat/>
    <w:uiPriority w:val="0"/>
    <w:pPr>
      <w:ind w:left="420" w:leftChars="200"/>
    </w:pPr>
  </w:style>
  <w:style w:type="paragraph" w:customStyle="1" w:styleId="29">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3"/>
    <w:link w:val="14"/>
    <w:autoRedefine/>
    <w:qFormat/>
    <w:uiPriority w:val="0"/>
    <w:rPr>
      <w:rFonts w:ascii="Calibri" w:hAnsi="Calibri"/>
      <w:kern w:val="2"/>
      <w:sz w:val="18"/>
      <w:szCs w:val="18"/>
    </w:rPr>
  </w:style>
  <w:style w:type="character" w:customStyle="1" w:styleId="37">
    <w:name w:val="批注框文本 Char"/>
    <w:basedOn w:val="23"/>
    <w:link w:val="11"/>
    <w:autoRedefine/>
    <w:qFormat/>
    <w:uiPriority w:val="0"/>
    <w:rPr>
      <w:rFonts w:ascii="Calibri" w:hAnsi="Calibri"/>
      <w:kern w:val="2"/>
      <w:sz w:val="18"/>
      <w:szCs w:val="18"/>
    </w:rPr>
  </w:style>
  <w:style w:type="paragraph" w:customStyle="1" w:styleId="38">
    <w:name w:val="样式 10 磅"/>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8501</Words>
  <Characters>9047</Characters>
  <Lines>186</Lines>
  <Paragraphs>52</Paragraphs>
  <TotalTime>46</TotalTime>
  <ScaleCrop>false</ScaleCrop>
  <LinksUpToDate>false</LinksUpToDate>
  <CharactersWithSpaces>9081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2023-09-14T08:48:00Z</dcterms:created>
  <dc:creator>Administrator</dc:creator>
  <cp:lastModifiedBy>ㅤ</cp:lastModifiedBy>
  <cp:lastPrinted>2024-08-30T23:08:00Z</cp:lastPrinted>
  <dcterms:modified xsi:type="dcterms:W3CDTF">2025-09-26T07:45:19Z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B544B3309180D50974C0C768C954EF80_43</vt:lpwstr>
  </property>
  <property fmtid="{D5CDD505-2E9C-101B-9397-08002B2CF9AE}" pid="4" name="KSOTemplateDocerSaveRecord">
    <vt:lpwstr>eyJoZGlkIjoiMzNlMTg1ZmRhMjJhMzI1NTNjZGIzMDVkMDhlZjg2ZmMiLCJ1c2VySWQiOiI2MTM2Nzk1NDkifQ==</vt:lpwstr>
  </property>
</Properties>
</file>